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p>
    <w:p w:rsidR="00E30A71" w:rsidRPr="00CA48EF" w:rsidRDefault="00E30A71" w:rsidP="00A15C74">
      <w:pPr>
        <w:spacing w:line="600" w:lineRule="exact"/>
        <w:jc w:val="center"/>
        <w:rPr>
          <w:rFonts w:ascii="方正小标宋_GBK" w:eastAsia="方正小标宋_GBK"/>
          <w:sz w:val="44"/>
          <w:szCs w:val="44"/>
        </w:rPr>
      </w:pPr>
      <w:bookmarkStart w:id="0" w:name="_GoBack"/>
      <w:bookmarkEnd w:id="0"/>
    </w:p>
    <w:p w:rsidR="00E30A71" w:rsidRPr="00CA48EF" w:rsidRDefault="006B00CF">
      <w:pPr>
        <w:spacing w:line="680" w:lineRule="exact"/>
        <w:jc w:val="center"/>
        <w:rPr>
          <w:rFonts w:ascii="方正仿宋_GBK" w:eastAsia="方正仿宋_GBK" w:hAnsi="方正仿宋_GBK" w:cs="方正仿宋_GBK"/>
          <w:sz w:val="32"/>
          <w:szCs w:val="32"/>
        </w:rPr>
      </w:pPr>
      <w:r w:rsidRPr="00CA48EF">
        <w:rPr>
          <w:rFonts w:ascii="方正仿宋_GBK" w:eastAsia="方正仿宋_GBK" w:hAnsi="方正仿宋_GBK" w:cs="方正仿宋_GBK" w:hint="eastAsia"/>
          <w:sz w:val="32"/>
          <w:szCs w:val="32"/>
        </w:rPr>
        <w:t>渝文旅发〔</w:t>
      </w:r>
      <w:r w:rsidRPr="00CA48EF">
        <w:rPr>
          <w:rFonts w:eastAsia="方正仿宋_GBK"/>
          <w:sz w:val="32"/>
          <w:szCs w:val="32"/>
        </w:rPr>
        <w:t>20</w:t>
      </w:r>
      <w:r w:rsidR="00D0234A" w:rsidRPr="00CA48EF">
        <w:rPr>
          <w:rFonts w:eastAsia="方正仿宋_GBK" w:hint="eastAsia"/>
          <w:sz w:val="32"/>
          <w:szCs w:val="32"/>
        </w:rPr>
        <w:t>21</w:t>
      </w:r>
      <w:r w:rsidRPr="00CA48EF">
        <w:rPr>
          <w:rFonts w:ascii="方正仿宋_GBK" w:eastAsia="方正仿宋_GBK" w:hAnsi="方正仿宋_GBK" w:cs="方正仿宋_GBK" w:hint="eastAsia"/>
          <w:sz w:val="32"/>
          <w:szCs w:val="32"/>
        </w:rPr>
        <w:t>〕</w:t>
      </w:r>
      <w:r w:rsidRPr="00CA48EF">
        <w:rPr>
          <w:rFonts w:eastAsia="方正仿宋_GBK"/>
          <w:sz w:val="32"/>
          <w:szCs w:val="32"/>
        </w:rPr>
        <w:t>1</w:t>
      </w:r>
      <w:r w:rsidR="00CA48EF" w:rsidRPr="00CA48EF">
        <w:rPr>
          <w:rFonts w:eastAsia="方正仿宋_GBK" w:hint="eastAsia"/>
          <w:sz w:val="32"/>
          <w:szCs w:val="32"/>
        </w:rPr>
        <w:t>7</w:t>
      </w:r>
      <w:r w:rsidRPr="00CA48EF">
        <w:rPr>
          <w:rFonts w:ascii="方正仿宋_GBK" w:eastAsia="方正仿宋_GBK" w:hAnsi="方正仿宋_GBK" w:cs="方正仿宋_GBK" w:hint="eastAsia"/>
          <w:sz w:val="32"/>
          <w:szCs w:val="32"/>
        </w:rPr>
        <w:t>号</w:t>
      </w:r>
    </w:p>
    <w:p w:rsidR="00E30A71" w:rsidRPr="00CA48EF" w:rsidRDefault="00E30A71">
      <w:pPr>
        <w:spacing w:line="400" w:lineRule="exact"/>
        <w:jc w:val="center"/>
        <w:rPr>
          <w:rFonts w:ascii="宋体" w:hAnsi="宋体" w:cs="宋体"/>
          <w:sz w:val="44"/>
          <w:szCs w:val="44"/>
        </w:rPr>
      </w:pPr>
    </w:p>
    <w:p w:rsidR="00E30A71" w:rsidRPr="00CA48EF" w:rsidRDefault="00E30A71">
      <w:pPr>
        <w:spacing w:line="400" w:lineRule="exact"/>
        <w:jc w:val="center"/>
        <w:rPr>
          <w:rFonts w:ascii="宋体" w:hAnsi="宋体" w:cs="宋体"/>
          <w:sz w:val="44"/>
          <w:szCs w:val="44"/>
        </w:rPr>
      </w:pPr>
    </w:p>
    <w:p w:rsidR="00CA48EF" w:rsidRPr="00CA48EF" w:rsidRDefault="00CA48EF" w:rsidP="00CA48EF">
      <w:pPr>
        <w:spacing w:line="680" w:lineRule="exact"/>
        <w:jc w:val="center"/>
        <w:rPr>
          <w:rFonts w:ascii="方正小标宋_GBK" w:eastAsia="方正小标宋_GBK"/>
          <w:sz w:val="44"/>
          <w:szCs w:val="44"/>
        </w:rPr>
      </w:pPr>
      <w:r w:rsidRPr="00CA48EF">
        <w:rPr>
          <w:rFonts w:ascii="方正小标宋_GBK" w:eastAsia="方正小标宋_GBK" w:hint="eastAsia"/>
          <w:sz w:val="44"/>
          <w:szCs w:val="44"/>
        </w:rPr>
        <w:t>重庆市文化和旅游发展委员会</w:t>
      </w:r>
    </w:p>
    <w:p w:rsidR="00CA48EF" w:rsidRPr="00CA48EF" w:rsidRDefault="00CA48EF" w:rsidP="00CA48EF">
      <w:pPr>
        <w:spacing w:line="680" w:lineRule="exact"/>
        <w:jc w:val="center"/>
        <w:rPr>
          <w:rFonts w:ascii="方正小标宋_GBK" w:eastAsia="方正小标宋_GBK" w:cs="方正小标宋_GBK"/>
          <w:sz w:val="44"/>
          <w:szCs w:val="44"/>
        </w:rPr>
      </w:pPr>
      <w:r w:rsidRPr="00CA48EF">
        <w:rPr>
          <w:rFonts w:ascii="方正小标宋_GBK" w:eastAsia="方正小标宋_GBK" w:cs="方正小标宋_GBK" w:hint="eastAsia"/>
          <w:sz w:val="44"/>
          <w:szCs w:val="44"/>
        </w:rPr>
        <w:t>关于开展“这么近那么美·重庆人游重庆”</w:t>
      </w:r>
    </w:p>
    <w:p w:rsidR="00CA48EF" w:rsidRPr="00CA48EF" w:rsidRDefault="00CA48EF" w:rsidP="00CA48EF">
      <w:pPr>
        <w:spacing w:line="680" w:lineRule="exact"/>
        <w:jc w:val="center"/>
        <w:rPr>
          <w:rFonts w:ascii="方正小标宋_GBK" w:eastAsia="方正小标宋_GBK"/>
          <w:sz w:val="44"/>
          <w:szCs w:val="44"/>
        </w:rPr>
      </w:pPr>
      <w:r w:rsidRPr="00CA48EF">
        <w:rPr>
          <w:rFonts w:ascii="方正小标宋_GBK" w:eastAsia="方正小标宋_GBK" w:cs="方正小标宋_GBK" w:hint="eastAsia"/>
          <w:sz w:val="44"/>
          <w:szCs w:val="44"/>
        </w:rPr>
        <w:t>主题活动的通知</w:t>
      </w:r>
    </w:p>
    <w:p w:rsidR="00CA48EF" w:rsidRPr="00CA48EF" w:rsidRDefault="00CA48EF" w:rsidP="00CA48EF">
      <w:pPr>
        <w:spacing w:line="594" w:lineRule="exact"/>
        <w:ind w:firstLineChars="200" w:firstLine="640"/>
        <w:rPr>
          <w:rFonts w:ascii="方正仿宋_GBK" w:eastAsia="方正仿宋_GBK"/>
          <w:sz w:val="32"/>
          <w:szCs w:val="32"/>
        </w:rPr>
      </w:pPr>
    </w:p>
    <w:p w:rsidR="00CA48EF" w:rsidRPr="00CA48EF" w:rsidRDefault="00CA48EF" w:rsidP="00CA48EF">
      <w:pPr>
        <w:spacing w:line="594" w:lineRule="exact"/>
        <w:rPr>
          <w:rFonts w:ascii="方正仿宋_GBK" w:eastAsia="方正仿宋_GBK" w:cs="方正仿宋_GBK"/>
          <w:sz w:val="32"/>
          <w:szCs w:val="32"/>
        </w:rPr>
      </w:pPr>
      <w:r w:rsidRPr="00CA48EF">
        <w:rPr>
          <w:rFonts w:ascii="方正仿宋_GBK" w:eastAsia="方正仿宋_GBK" w:cs="方正仿宋_GBK" w:hint="eastAsia"/>
          <w:sz w:val="32"/>
          <w:szCs w:val="32"/>
        </w:rPr>
        <w:t>各区县（自治县）文化旅游委，两江新区市场监管局、高新区公共服务局、万盛经开区文化旅游局：</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cs="方正仿宋_GBK" w:hint="eastAsia"/>
          <w:sz w:val="32"/>
          <w:szCs w:val="32"/>
        </w:rPr>
        <w:t>为贯彻落实中办国办《关于做好人民群众就地过年服务保障工作的通知》有关精神，全面落实市委、市政府关于统筹疫情防控和经济社会发展的决策部署，助力我市文旅行业在疫情防控常态化条件下安全有序发展</w:t>
      </w:r>
      <w:r w:rsidRPr="00CA48EF">
        <w:rPr>
          <w:rFonts w:ascii="方正仿宋_GBK" w:eastAsia="方正仿宋_GBK" w:hAnsi="仿宋" w:hint="eastAsia"/>
          <w:sz w:val="32"/>
          <w:szCs w:val="32"/>
        </w:rPr>
        <w:t>。</w:t>
      </w:r>
      <w:r w:rsidRPr="00CA48EF">
        <w:rPr>
          <w:rFonts w:ascii="方正仿宋_GBK" w:eastAsia="方正仿宋_GBK" w:cs="方正仿宋_GBK" w:hint="eastAsia"/>
          <w:sz w:val="32"/>
          <w:szCs w:val="32"/>
        </w:rPr>
        <w:t>经研究，定于2月至5月，在做好疫情防控的前提下，在全市</w:t>
      </w:r>
      <w:r w:rsidRPr="00CA48EF">
        <w:rPr>
          <w:rFonts w:ascii="方正仿宋_GBK" w:eastAsia="方正仿宋_GBK" w:hAnsi="仿宋" w:hint="eastAsia"/>
          <w:sz w:val="32"/>
          <w:szCs w:val="32"/>
        </w:rPr>
        <w:t>开展“这么近那么美</w:t>
      </w:r>
      <w:r w:rsidRPr="00CA48EF">
        <w:rPr>
          <w:rFonts w:ascii="方正小标宋_GBK" w:eastAsia="方正小标宋_GBK" w:cs="方正小标宋_GBK" w:hint="eastAsia"/>
          <w:sz w:val="32"/>
          <w:szCs w:val="32"/>
        </w:rPr>
        <w:t>·</w:t>
      </w:r>
      <w:r w:rsidRPr="00CA48EF">
        <w:rPr>
          <w:rFonts w:ascii="方正仿宋_GBK" w:eastAsia="方正仿宋_GBK" w:hAnsi="仿宋" w:hint="eastAsia"/>
          <w:sz w:val="32"/>
          <w:szCs w:val="32"/>
        </w:rPr>
        <w:t>重庆人游重庆”主题活动。现将有关事项通知如下：</w:t>
      </w:r>
    </w:p>
    <w:p w:rsidR="00CA48EF" w:rsidRPr="00CA48EF" w:rsidRDefault="00CA48EF" w:rsidP="00CA48EF">
      <w:pPr>
        <w:spacing w:line="594" w:lineRule="exact"/>
        <w:ind w:firstLineChars="200" w:firstLine="640"/>
        <w:rPr>
          <w:rFonts w:ascii="方正黑体_GBK" w:eastAsia="方正黑体_GBK" w:hAnsi="黑体"/>
          <w:bCs/>
          <w:sz w:val="32"/>
          <w:szCs w:val="32"/>
        </w:rPr>
      </w:pPr>
      <w:r w:rsidRPr="00CA48EF">
        <w:rPr>
          <w:rFonts w:ascii="方正黑体_GBK" w:eastAsia="方正黑体_GBK" w:hAnsi="黑体" w:hint="eastAsia"/>
          <w:bCs/>
          <w:sz w:val="32"/>
          <w:szCs w:val="32"/>
        </w:rPr>
        <w:lastRenderedPageBreak/>
        <w:t>一、活动主题</w:t>
      </w:r>
    </w:p>
    <w:p w:rsidR="00CA48EF" w:rsidRDefault="00CA48EF" w:rsidP="00CA48EF">
      <w:pPr>
        <w:spacing w:line="594" w:lineRule="exact"/>
        <w:ind w:firstLineChars="200" w:firstLine="640"/>
        <w:rPr>
          <w:rFonts w:ascii="方正仿宋_GBK" w:eastAsia="方正仿宋_GBK" w:hAnsi="仿宋" w:hint="eastAsia"/>
          <w:sz w:val="32"/>
          <w:szCs w:val="32"/>
        </w:rPr>
      </w:pPr>
      <w:r w:rsidRPr="00CA48EF">
        <w:rPr>
          <w:rFonts w:ascii="方正仿宋_GBK" w:eastAsia="方正仿宋_GBK" w:hAnsi="仿宋" w:hint="eastAsia"/>
          <w:sz w:val="32"/>
          <w:szCs w:val="32"/>
        </w:rPr>
        <w:t>这么近那么美·重庆人游重庆</w:t>
      </w:r>
    </w:p>
    <w:p w:rsidR="00C82F70" w:rsidRPr="00C82F70" w:rsidRDefault="00C82F70"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这么近那么美·</w:t>
      </w:r>
      <w:r>
        <w:rPr>
          <w:rFonts w:ascii="方正仿宋_GBK" w:eastAsia="方正仿宋_GBK" w:hAnsi="仿宋" w:hint="eastAsia"/>
          <w:sz w:val="32"/>
          <w:szCs w:val="32"/>
        </w:rPr>
        <w:t>今年在重庆过年</w:t>
      </w:r>
    </w:p>
    <w:p w:rsidR="00CA48EF" w:rsidRPr="00CA48EF" w:rsidRDefault="00CA48EF" w:rsidP="00CA48EF">
      <w:pPr>
        <w:spacing w:line="594" w:lineRule="exact"/>
        <w:ind w:firstLineChars="200" w:firstLine="640"/>
        <w:rPr>
          <w:rFonts w:ascii="方正黑体_GBK" w:eastAsia="方正黑体_GBK" w:hAnsi="黑体"/>
          <w:bCs/>
          <w:sz w:val="32"/>
          <w:szCs w:val="32"/>
        </w:rPr>
      </w:pPr>
      <w:r w:rsidRPr="00CA48EF">
        <w:rPr>
          <w:rFonts w:ascii="方正黑体_GBK" w:eastAsia="方正黑体_GBK" w:hAnsi="黑体" w:hint="eastAsia"/>
          <w:bCs/>
          <w:sz w:val="32"/>
          <w:szCs w:val="32"/>
        </w:rPr>
        <w:t>二、活动时间</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2021年2月—5月</w:t>
      </w:r>
    </w:p>
    <w:p w:rsidR="00CA48EF" w:rsidRPr="00CA48EF" w:rsidRDefault="00CA48EF" w:rsidP="00CA48EF">
      <w:pPr>
        <w:spacing w:line="594" w:lineRule="exact"/>
        <w:ind w:firstLineChars="200" w:firstLine="640"/>
        <w:rPr>
          <w:rFonts w:ascii="方正黑体_GBK" w:eastAsia="方正黑体_GBK" w:hAnsi="黑体"/>
          <w:bCs/>
          <w:sz w:val="32"/>
          <w:szCs w:val="32"/>
        </w:rPr>
      </w:pPr>
      <w:r w:rsidRPr="00CA48EF">
        <w:rPr>
          <w:rFonts w:ascii="方正黑体_GBK" w:eastAsia="方正黑体_GBK" w:hAnsi="黑体" w:hint="eastAsia"/>
          <w:bCs/>
          <w:sz w:val="32"/>
          <w:szCs w:val="32"/>
        </w:rPr>
        <w:t>三、活动地点</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重庆市各区县</w:t>
      </w:r>
    </w:p>
    <w:p w:rsidR="00CA48EF" w:rsidRPr="00CA48EF" w:rsidRDefault="00CA48EF" w:rsidP="00CA48EF">
      <w:pPr>
        <w:spacing w:line="594" w:lineRule="exact"/>
        <w:ind w:firstLineChars="200" w:firstLine="640"/>
        <w:rPr>
          <w:rFonts w:ascii="方正黑体_GBK" w:eastAsia="方正黑体_GBK" w:hAnsi="黑体"/>
          <w:bCs/>
          <w:sz w:val="32"/>
          <w:szCs w:val="32"/>
        </w:rPr>
      </w:pPr>
      <w:r w:rsidRPr="00CA48EF">
        <w:rPr>
          <w:rFonts w:ascii="方正黑体_GBK" w:eastAsia="方正黑体_GBK" w:hAnsi="黑体" w:hint="eastAsia"/>
          <w:bCs/>
          <w:sz w:val="32"/>
          <w:szCs w:val="32"/>
        </w:rPr>
        <w:t>四、组织架构</w:t>
      </w:r>
    </w:p>
    <w:p w:rsidR="00CA48EF" w:rsidRPr="00CA48EF" w:rsidRDefault="00CA48EF" w:rsidP="00CA48EF">
      <w:pPr>
        <w:spacing w:line="594" w:lineRule="exact"/>
        <w:ind w:firstLineChars="200" w:firstLine="640"/>
        <w:rPr>
          <w:rFonts w:ascii="方正仿宋_GBK" w:eastAsia="方正仿宋_GBK" w:hAnsi="仿宋"/>
          <w:sz w:val="32"/>
          <w:szCs w:val="32"/>
        </w:rPr>
      </w:pPr>
      <w:bookmarkStart w:id="1" w:name="_Hlk36970041"/>
      <w:r w:rsidRPr="00CA48EF">
        <w:rPr>
          <w:rFonts w:ascii="方正仿宋_GBK" w:eastAsia="方正仿宋_GBK" w:hAnsi="仿宋" w:hint="eastAsia"/>
          <w:sz w:val="32"/>
          <w:szCs w:val="32"/>
        </w:rPr>
        <w:t>主办单位：</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重庆市文化和旅游发展委员会</w:t>
      </w:r>
    </w:p>
    <w:bookmarkEnd w:id="1"/>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承办单位：</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各区县文化旅游委</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重庆旅游集团</w:t>
      </w:r>
    </w:p>
    <w:p w:rsidR="00CA48EF" w:rsidRPr="00CA48EF" w:rsidRDefault="00CA48EF" w:rsidP="00CA48EF">
      <w:pPr>
        <w:spacing w:line="594" w:lineRule="exact"/>
        <w:ind w:firstLineChars="200" w:firstLine="640"/>
        <w:rPr>
          <w:sz w:val="32"/>
          <w:szCs w:val="32"/>
        </w:rPr>
      </w:pPr>
      <w:r w:rsidRPr="00CA48EF">
        <w:rPr>
          <w:rFonts w:ascii="方正黑体_GBK" w:eastAsia="方正黑体_GBK" w:hAnsi="黑体" w:hint="eastAsia"/>
          <w:bCs/>
          <w:sz w:val="32"/>
          <w:szCs w:val="32"/>
        </w:rPr>
        <w:t>五、</w:t>
      </w:r>
      <w:r w:rsidRPr="00CA48EF">
        <w:rPr>
          <w:rFonts w:ascii="黑体" w:eastAsia="黑体" w:hAnsi="黑体" w:hint="eastAsia"/>
          <w:sz w:val="32"/>
          <w:szCs w:val="32"/>
        </w:rPr>
        <w:t>主要活动</w:t>
      </w:r>
    </w:p>
    <w:p w:rsidR="00CA48EF" w:rsidRPr="00CA48EF" w:rsidRDefault="00CA48EF" w:rsidP="00CA48EF">
      <w:pPr>
        <w:spacing w:line="594" w:lineRule="exact"/>
        <w:ind w:firstLineChars="200" w:firstLine="640"/>
        <w:rPr>
          <w:rFonts w:ascii="方正楷体_GBK" w:eastAsia="方正楷体_GBK" w:hAnsi="仿宋"/>
          <w:sz w:val="32"/>
          <w:szCs w:val="32"/>
        </w:rPr>
      </w:pPr>
      <w:r w:rsidRPr="00CA48EF">
        <w:rPr>
          <w:rFonts w:ascii="方正楷体_GBK" w:eastAsia="方正楷体_GBK" w:hAnsi="仿宋" w:hint="eastAsia"/>
          <w:sz w:val="32"/>
          <w:szCs w:val="32"/>
        </w:rPr>
        <w:t>（一）“这么近那么美</w:t>
      </w:r>
      <w:r w:rsidRPr="00CA48EF">
        <w:rPr>
          <w:rFonts w:ascii="方正楷体_GBK" w:eastAsia="方正楷体_GBK" w:cs="方正小标宋_GBK" w:hint="eastAsia"/>
          <w:sz w:val="32"/>
          <w:szCs w:val="32"/>
        </w:rPr>
        <w:t>·</w:t>
      </w:r>
      <w:r w:rsidRPr="00CA48EF">
        <w:rPr>
          <w:rFonts w:ascii="方正楷体_GBK" w:eastAsia="方正楷体_GBK" w:hAnsi="仿宋" w:hint="eastAsia"/>
          <w:sz w:val="32"/>
          <w:szCs w:val="32"/>
        </w:rPr>
        <w:t>重庆人游重庆”启动仪式</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时间：2021年2月2日（周二）10:</w:t>
      </w:r>
      <w:r w:rsidR="00C82F70">
        <w:rPr>
          <w:rFonts w:ascii="方正仿宋_GBK" w:eastAsia="方正仿宋_GBK" w:hAnsi="仿宋" w:hint="eastAsia"/>
          <w:sz w:val="32"/>
          <w:szCs w:val="32"/>
        </w:rPr>
        <w:t>3</w:t>
      </w:r>
      <w:r w:rsidRPr="00CA48EF">
        <w:rPr>
          <w:rFonts w:ascii="方正仿宋_GBK" w:eastAsia="方正仿宋_GBK" w:hAnsi="仿宋" w:hint="eastAsia"/>
          <w:sz w:val="32"/>
          <w:szCs w:val="32"/>
        </w:rPr>
        <w:t>0</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地点：市文化旅游委</w:t>
      </w:r>
      <w:r w:rsidR="00C82F70">
        <w:rPr>
          <w:rFonts w:ascii="方正仿宋_GBK" w:eastAsia="方正仿宋_GBK" w:hAnsi="仿宋" w:hint="eastAsia"/>
          <w:sz w:val="32"/>
          <w:szCs w:val="32"/>
        </w:rPr>
        <w:t>大厅</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主要内容：以新闻发布会的形式发布“这么近那么美</w:t>
      </w:r>
      <w:r w:rsidRPr="00CA48EF">
        <w:rPr>
          <w:rFonts w:ascii="方正小标宋_GBK" w:eastAsia="方正小标宋_GBK" w:cs="方正小标宋_GBK" w:hint="eastAsia"/>
          <w:sz w:val="32"/>
          <w:szCs w:val="32"/>
        </w:rPr>
        <w:t>·</w:t>
      </w:r>
      <w:r w:rsidRPr="00CA48EF">
        <w:rPr>
          <w:rFonts w:ascii="方正仿宋_GBK" w:eastAsia="方正仿宋_GBK" w:hAnsi="仿宋" w:hint="eastAsia"/>
          <w:sz w:val="32"/>
          <w:szCs w:val="32"/>
        </w:rPr>
        <w:t>重庆人游重庆”活动信息，同时宣布“这么近那么美</w:t>
      </w:r>
      <w:r w:rsidRPr="00CA48EF">
        <w:rPr>
          <w:rFonts w:ascii="方正小标宋_GBK" w:eastAsia="方正小标宋_GBK" w:cs="方正小标宋_GBK" w:hint="eastAsia"/>
          <w:sz w:val="32"/>
          <w:szCs w:val="32"/>
        </w:rPr>
        <w:t>·</w:t>
      </w:r>
      <w:r w:rsidRPr="00CA48EF">
        <w:rPr>
          <w:rFonts w:ascii="方正仿宋_GBK" w:eastAsia="方正仿宋_GBK" w:hAnsi="仿宋" w:hint="eastAsia"/>
          <w:sz w:val="32"/>
          <w:szCs w:val="32"/>
        </w:rPr>
        <w:t>来渝东南过年”活动正式启动。</w:t>
      </w:r>
    </w:p>
    <w:p w:rsidR="00CA48EF" w:rsidRPr="00CA48EF" w:rsidRDefault="00CA48EF" w:rsidP="00CA48EF">
      <w:pPr>
        <w:spacing w:line="594" w:lineRule="exact"/>
        <w:ind w:firstLineChars="200" w:firstLine="640"/>
        <w:rPr>
          <w:rFonts w:ascii="方正楷体_GBK" w:eastAsia="方正楷体_GBK" w:hAnsi="仿宋"/>
          <w:sz w:val="32"/>
          <w:szCs w:val="32"/>
        </w:rPr>
      </w:pPr>
      <w:r w:rsidRPr="00CA48EF">
        <w:rPr>
          <w:rFonts w:ascii="方正楷体_GBK" w:eastAsia="方正楷体_GBK" w:hAnsi="仿宋" w:hint="eastAsia"/>
          <w:sz w:val="32"/>
          <w:szCs w:val="32"/>
        </w:rPr>
        <w:t>（二）“这么近那么美</w:t>
      </w:r>
      <w:r w:rsidRPr="00CA48EF">
        <w:rPr>
          <w:rFonts w:ascii="方正楷体_GBK" w:eastAsia="方正楷体_GBK" w:cs="方正小标宋_GBK" w:hint="eastAsia"/>
          <w:sz w:val="32"/>
          <w:szCs w:val="32"/>
        </w:rPr>
        <w:t>·</w:t>
      </w:r>
      <w:r w:rsidRPr="00CA48EF">
        <w:rPr>
          <w:rFonts w:ascii="方正楷体_GBK" w:eastAsia="方正楷体_GBK" w:hAnsi="仿宋" w:hint="eastAsia"/>
          <w:sz w:val="32"/>
          <w:szCs w:val="32"/>
        </w:rPr>
        <w:t>重庆人游重庆”系列活动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时间：2021年2月—5月</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lastRenderedPageBreak/>
        <w:t>地点：全市各区县</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主要内容：各区县（自治县）文化旅游委根据疫情防控形势，各自制定今冬明春期间“重庆人游重庆”的旅游产品、惠民措施、民俗文化活动等，并做好本地区“这么近那么美</w:t>
      </w:r>
      <w:r w:rsidRPr="00CA48EF">
        <w:rPr>
          <w:rFonts w:ascii="方正小标宋_GBK" w:eastAsia="方正小标宋_GBK" w:cs="方正小标宋_GBK" w:hint="eastAsia"/>
          <w:sz w:val="32"/>
          <w:szCs w:val="32"/>
        </w:rPr>
        <w:t>·</w:t>
      </w:r>
      <w:r w:rsidRPr="00CA48EF">
        <w:rPr>
          <w:rFonts w:ascii="方正仿宋_GBK" w:eastAsia="方正仿宋_GBK" w:hAnsi="仿宋" w:hint="eastAsia"/>
          <w:sz w:val="32"/>
          <w:szCs w:val="32"/>
        </w:rPr>
        <w:t>重庆人游重庆”旅游惠民系列活动宣传组织工作。各区域旅游联盟由联盟主席单位牵头策划组织开展，比如：“这么近</w:t>
      </w:r>
      <w:r w:rsidRPr="00CA48EF">
        <w:rPr>
          <w:rFonts w:ascii="方正小标宋_GBK" w:eastAsia="方正小标宋_GBK" w:cs="方正小标宋_GBK" w:hint="eastAsia"/>
          <w:sz w:val="32"/>
          <w:szCs w:val="32"/>
        </w:rPr>
        <w:t>·</w:t>
      </w:r>
      <w:r w:rsidRPr="00CA48EF">
        <w:rPr>
          <w:rFonts w:ascii="方正仿宋_GBK" w:eastAsia="方正仿宋_GBK" w:hAnsi="仿宋" w:hint="eastAsia"/>
          <w:sz w:val="32"/>
          <w:szCs w:val="32"/>
        </w:rPr>
        <w:t>那么美来渝东南过年”等区域主题活动及线下启动仪式。</w:t>
      </w:r>
    </w:p>
    <w:p w:rsidR="00CA48EF" w:rsidRPr="00CA48EF" w:rsidRDefault="00CA48EF" w:rsidP="00CA48EF">
      <w:pPr>
        <w:spacing w:line="594" w:lineRule="exact"/>
        <w:ind w:firstLineChars="200" w:firstLine="640"/>
        <w:rPr>
          <w:rFonts w:ascii="方正楷体_GBK" w:eastAsia="方正楷体_GBK" w:hAnsi="仿宋"/>
          <w:sz w:val="32"/>
          <w:szCs w:val="32"/>
        </w:rPr>
      </w:pPr>
      <w:r w:rsidRPr="00CA48EF">
        <w:rPr>
          <w:rFonts w:ascii="方正楷体_GBK" w:eastAsia="方正楷体_GBK" w:hAnsi="仿宋" w:hint="eastAsia"/>
          <w:sz w:val="32"/>
          <w:szCs w:val="32"/>
        </w:rPr>
        <w:t>（三）“这么近那么美</w:t>
      </w:r>
      <w:r w:rsidRPr="00CA48EF">
        <w:rPr>
          <w:rFonts w:ascii="方正小标宋_GBK" w:eastAsia="方正小标宋_GBK" w:cs="方正小标宋_GBK" w:hint="eastAsia"/>
          <w:sz w:val="32"/>
          <w:szCs w:val="32"/>
        </w:rPr>
        <w:t>·</w:t>
      </w:r>
      <w:r w:rsidRPr="00CA48EF">
        <w:rPr>
          <w:rFonts w:ascii="方正楷体_GBK" w:eastAsia="方正楷体_GBK" w:hAnsi="仿宋" w:hint="eastAsia"/>
          <w:sz w:val="32"/>
          <w:szCs w:val="32"/>
        </w:rPr>
        <w:t>打卡巴渝美景”线下系列活动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时间：2021年2月—2021年5月</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地点：全市各区县</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主要内容：围绕全市首批50个有一定品质、有市场提升空间的景区（包括景区、景点、度假区、乡村旅游点、参观游览点等）组织开展“打卡巴渝美景”网络直播、“打卡巴渝美景·重庆聚惠玩”沉浸式全程互动打卡、“打卡巴渝美景·步量山城风光”组团打卡等落地活动，吸引市民、游客深度参与、积极互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组织形式：</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1.“打卡巴渝美景”网络直播。</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景区推出系列优惠措施和特色活动，线上策划组织旅游博主、知名网络红人、网络主播、历届重庆小姐（重报集团“重庆小姐”大赛历届获奖选手）、优秀导游等，以景区实景网络直播、名人景区直播秀等方式，进行景点介绍、娱乐项目体验、游客互动拍照，同时发布活动、发放活动优惠福利、推荐线路。</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lastRenderedPageBreak/>
        <w:t>2.“打卡巴渝美景·重庆聚惠玩”沉浸式全程互动打卡活动。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在50个景区设置实景打卡点，通过线下扫码打卡、摄影打卡、集邮式打卡领福利、线上闯关获分级奖励等方式，吸引受众参与、鼓励受众互动。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3.“打卡巴渝美景·步量山城风光”组团打卡落地活动。</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精心整合包装10条打卡巴渝新线路，推出6场“打卡巴渝美景·步量山城风光”组团打卡落地活动，在马蜂窝、飞猪等旅游攻略性平台发布推广。联合车友会、旅行社推出一场专属定制组团打卡落地活动。</w:t>
      </w:r>
    </w:p>
    <w:p w:rsidR="00CA48EF" w:rsidRPr="00CA48EF" w:rsidRDefault="00CA48EF" w:rsidP="00CA48EF">
      <w:pPr>
        <w:spacing w:line="594" w:lineRule="exact"/>
        <w:ind w:firstLineChars="200" w:firstLine="640"/>
        <w:rPr>
          <w:rFonts w:ascii="方正黑体_GBK" w:eastAsia="方正黑体_GBK" w:hAnsi="黑体"/>
          <w:sz w:val="32"/>
          <w:szCs w:val="32"/>
        </w:rPr>
      </w:pPr>
      <w:r w:rsidRPr="00CA48EF">
        <w:rPr>
          <w:rFonts w:ascii="方正黑体_GBK" w:eastAsia="方正黑体_GBK" w:hAnsi="黑体" w:hint="eastAsia"/>
          <w:sz w:val="32"/>
          <w:szCs w:val="32"/>
        </w:rPr>
        <w:t>六、活动宣传</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仿宋_GBK" w:eastAsia="方正仿宋_GBK" w:hAnsi="仿宋" w:hint="eastAsia"/>
          <w:sz w:val="32"/>
          <w:szCs w:val="32"/>
        </w:rPr>
        <w:t>新华网、人民网、中新网、重庆日报、重庆卫视、上游新闻、重庆晨报、重庆晚报、重庆商报、华龙网、大渝网、新女报、都市热报、新浪网、今日头条、抖音、腾讯视频等。</w:t>
      </w:r>
    </w:p>
    <w:p w:rsidR="00CA48EF" w:rsidRPr="00CA48EF" w:rsidRDefault="00CA48EF" w:rsidP="00CA48EF">
      <w:pPr>
        <w:spacing w:line="594" w:lineRule="exact"/>
        <w:ind w:firstLineChars="200" w:firstLine="640"/>
        <w:rPr>
          <w:rFonts w:ascii="方正黑体_GBK" w:eastAsia="方正黑体_GBK" w:hAnsi="黑体"/>
          <w:sz w:val="32"/>
          <w:szCs w:val="32"/>
        </w:rPr>
      </w:pPr>
      <w:r w:rsidRPr="00CA48EF">
        <w:rPr>
          <w:rFonts w:ascii="方正黑体_GBK" w:eastAsia="方正黑体_GBK" w:hAnsi="黑体" w:hint="eastAsia"/>
          <w:sz w:val="32"/>
          <w:szCs w:val="32"/>
        </w:rPr>
        <w:t>七、有关要求</w:t>
      </w:r>
    </w:p>
    <w:p w:rsidR="00CA48EF" w:rsidRPr="00CA48EF" w:rsidRDefault="00CA48EF" w:rsidP="00CA48EF">
      <w:pPr>
        <w:spacing w:line="594" w:lineRule="exact"/>
        <w:ind w:firstLineChars="200" w:firstLine="640"/>
        <w:rPr>
          <w:rFonts w:ascii="方正仿宋_GBK" w:eastAsia="方正仿宋_GBK" w:hAnsi="方正仿宋_GBK" w:cs="方正仿宋_GBK"/>
          <w:sz w:val="32"/>
          <w:szCs w:val="32"/>
        </w:rPr>
      </w:pPr>
      <w:r w:rsidRPr="00CA48EF">
        <w:rPr>
          <w:rFonts w:ascii="方正楷体_GBK" w:eastAsia="方正楷体_GBK" w:hAnsi="仿宋" w:hint="eastAsia"/>
          <w:sz w:val="32"/>
          <w:szCs w:val="32"/>
        </w:rPr>
        <w:t>（一）高度重视。</w:t>
      </w:r>
      <w:r w:rsidRPr="00CA48EF">
        <w:rPr>
          <w:rFonts w:ascii="方正仿宋_GBK" w:eastAsia="方正仿宋_GBK" w:hAnsi="方正仿宋_GBK" w:cs="方正仿宋_GBK" w:hint="eastAsia"/>
          <w:sz w:val="32"/>
          <w:szCs w:val="32"/>
        </w:rPr>
        <w:t>各区县作为活动的参与主体，务必高度重视，进一步提高政治站位，将此次活动作为做好群众就地过年服务保障工作的重要抓手之一抓好落实，安排专人负责活动组织实施工作，根据活动时间节点按要求及时报送相关材料。</w:t>
      </w:r>
    </w:p>
    <w:p w:rsidR="00CA48EF" w:rsidRPr="00CA48EF" w:rsidRDefault="00CA48EF" w:rsidP="00CA48EF">
      <w:pPr>
        <w:spacing w:line="594" w:lineRule="exact"/>
        <w:ind w:firstLineChars="200" w:firstLine="640"/>
        <w:rPr>
          <w:rFonts w:ascii="方正仿宋_GBK" w:eastAsia="方正仿宋_GBK" w:hAnsi="仿宋"/>
          <w:sz w:val="32"/>
          <w:szCs w:val="32"/>
        </w:rPr>
      </w:pPr>
      <w:r w:rsidRPr="00CA48EF">
        <w:rPr>
          <w:rFonts w:ascii="方正楷体_GBK" w:eastAsia="方正楷体_GBK" w:hAnsi="仿宋" w:hint="eastAsia"/>
          <w:sz w:val="32"/>
          <w:szCs w:val="32"/>
        </w:rPr>
        <w:t>（二）精心组织。</w:t>
      </w:r>
      <w:r w:rsidRPr="00CA48EF">
        <w:rPr>
          <w:rFonts w:ascii="方正仿宋_GBK" w:eastAsia="方正仿宋_GBK" w:hAnsi="仿宋" w:hint="eastAsia"/>
          <w:sz w:val="32"/>
          <w:szCs w:val="32"/>
        </w:rPr>
        <w:t>各区县</w:t>
      </w:r>
      <w:r w:rsidRPr="00CA48EF">
        <w:rPr>
          <w:rFonts w:ascii="方正仿宋_GBK" w:eastAsia="方正仿宋_GBK" w:hAnsi="方正仿宋_GBK" w:cs="方正仿宋_GBK" w:hint="eastAsia"/>
          <w:sz w:val="32"/>
          <w:szCs w:val="32"/>
        </w:rPr>
        <w:t>应充分结合本地实际，充分挖掘本地市场潜力，在此次活动的基础上，研究出台针对“重庆人游重庆”的专项优惠政策和更多优惠组合措施。</w:t>
      </w:r>
      <w:r w:rsidRPr="00CA48EF">
        <w:rPr>
          <w:rFonts w:ascii="方正仿宋_GBK" w:eastAsia="方正仿宋_GBK" w:hAnsi="仿宋" w:hint="eastAsia"/>
          <w:sz w:val="32"/>
          <w:szCs w:val="32"/>
        </w:rPr>
        <w:t>主城都市、渝东北、渝东南区域旅游联盟主席单位要统筹组织好“这么近那么美·重</w:t>
      </w:r>
      <w:r w:rsidRPr="00CA48EF">
        <w:rPr>
          <w:rFonts w:ascii="方正仿宋_GBK" w:eastAsia="方正仿宋_GBK" w:hAnsi="仿宋" w:hint="eastAsia"/>
          <w:sz w:val="32"/>
          <w:szCs w:val="32"/>
        </w:rPr>
        <w:lastRenderedPageBreak/>
        <w:t>庆人游重庆”活动线下启动工作，原则上活动启动时间2月底以前完成。</w:t>
      </w:r>
    </w:p>
    <w:p w:rsidR="00C82F70" w:rsidRDefault="00CA48EF" w:rsidP="00CA48EF">
      <w:pPr>
        <w:spacing w:line="594" w:lineRule="exact"/>
        <w:ind w:firstLineChars="200" w:firstLine="640"/>
        <w:rPr>
          <w:rFonts w:hint="eastAsia"/>
        </w:rPr>
      </w:pPr>
      <w:r w:rsidRPr="00CA48EF">
        <w:rPr>
          <w:rFonts w:ascii="方正楷体_GBK" w:eastAsia="方正楷体_GBK" w:hAnsi="仿宋" w:hint="eastAsia"/>
          <w:sz w:val="32"/>
          <w:szCs w:val="32"/>
        </w:rPr>
        <w:t>（三）</w:t>
      </w:r>
      <w:r w:rsidR="00C82F70" w:rsidRPr="00C82F70">
        <w:rPr>
          <w:rFonts w:ascii="方正楷体_GBK" w:eastAsia="方正楷体_GBK" w:hAnsi="仿宋"/>
          <w:sz w:val="32"/>
          <w:szCs w:val="32"/>
        </w:rPr>
        <w:t>加强防控。</w:t>
      </w:r>
      <w:r w:rsidR="00C82F70" w:rsidRPr="00C82F70">
        <w:rPr>
          <w:rFonts w:ascii="方正仿宋_GBK" w:eastAsia="方正仿宋_GBK" w:hAnsi="仿宋"/>
          <w:sz w:val="32"/>
          <w:szCs w:val="32"/>
        </w:rPr>
        <w:t>活动举办过程中，要严格按照市新冠肺炎疫情防控工作领导小组有关要求，控制线下活动规模，落实好佩戴口罩、测量体温、查验健康码等防控措施，</w:t>
      </w:r>
      <w:r w:rsidR="00C82F70">
        <w:rPr>
          <w:rFonts w:ascii="方正仿宋_GBK" w:eastAsia="方正仿宋_GBK" w:hAnsi="仿宋" w:hint="eastAsia"/>
          <w:sz w:val="32"/>
          <w:szCs w:val="32"/>
        </w:rPr>
        <w:t>景区接待量不超过最大承载量的75%</w:t>
      </w:r>
      <w:r w:rsidR="00C82F70" w:rsidRPr="00C82F70">
        <w:rPr>
          <w:rFonts w:ascii="方正仿宋_GBK" w:eastAsia="方正仿宋_GBK" w:hAnsi="仿宋"/>
          <w:sz w:val="32"/>
          <w:szCs w:val="32"/>
        </w:rPr>
        <w:t>，确保不发生疫情传播事件。</w:t>
      </w:r>
    </w:p>
    <w:p w:rsidR="00CA48EF" w:rsidRPr="00CA48EF" w:rsidRDefault="00C82F70" w:rsidP="00C82F70">
      <w:pPr>
        <w:spacing w:line="594" w:lineRule="exact"/>
        <w:ind w:firstLineChars="200" w:firstLine="640"/>
        <w:rPr>
          <w:rFonts w:ascii="方正仿宋_GBK" w:eastAsia="方正仿宋_GBK" w:hAnsi="仿宋"/>
          <w:sz w:val="32"/>
          <w:szCs w:val="32"/>
        </w:rPr>
      </w:pPr>
      <w:r w:rsidRPr="00C82F70">
        <w:rPr>
          <w:rFonts w:ascii="方正楷体_GBK" w:eastAsia="方正楷体_GBK" w:hAnsi="仿宋" w:hint="eastAsia"/>
          <w:sz w:val="32"/>
          <w:szCs w:val="32"/>
        </w:rPr>
        <w:t>（四）</w:t>
      </w:r>
      <w:r w:rsidR="00CA48EF" w:rsidRPr="00CA48EF">
        <w:rPr>
          <w:rFonts w:ascii="方正楷体_GBK" w:eastAsia="方正楷体_GBK" w:hAnsi="仿宋" w:hint="eastAsia"/>
          <w:sz w:val="32"/>
          <w:szCs w:val="32"/>
        </w:rPr>
        <w:t>及时报送。</w:t>
      </w:r>
      <w:r w:rsidR="00CA48EF" w:rsidRPr="00CA48EF">
        <w:rPr>
          <w:rFonts w:ascii="方正仿宋_GBK" w:eastAsia="方正仿宋_GBK" w:hAnsi="仿宋" w:hint="eastAsia"/>
          <w:sz w:val="32"/>
          <w:szCs w:val="32"/>
        </w:rPr>
        <w:t>请各单位（区域旅游联盟主席单位）于2月9日前将</w:t>
      </w:r>
      <w:r w:rsidR="00CA48EF" w:rsidRPr="00CA48EF">
        <w:rPr>
          <w:rFonts w:ascii="方正仿宋_GBK" w:eastAsia="方正仿宋_GBK" w:hAnsi="方正仿宋_GBK" w:cs="方正仿宋_GBK" w:hint="eastAsia"/>
          <w:sz w:val="32"/>
          <w:szCs w:val="32"/>
        </w:rPr>
        <w:t>活动计划、优惠措施以及活动实施情况请及时报市文化旅游委宣传处汇总，以便集中向媒体推送</w:t>
      </w:r>
      <w:r w:rsidR="00CA48EF" w:rsidRPr="00CA48EF">
        <w:rPr>
          <w:rFonts w:ascii="方正仿宋_GBK" w:eastAsia="方正仿宋_GBK" w:hAnsi="仿宋" w:hint="eastAsia"/>
          <w:sz w:val="32"/>
          <w:szCs w:val="32"/>
        </w:rPr>
        <w:t>。活动情况统计表传至邮箱cqswlw@163.com，联系人：魏文彪，联系电话：63235104。</w:t>
      </w:r>
    </w:p>
    <w:p w:rsidR="00CA48EF" w:rsidRPr="00CA48EF" w:rsidRDefault="00CA48EF" w:rsidP="00CA48EF">
      <w:pPr>
        <w:spacing w:line="594" w:lineRule="exact"/>
        <w:ind w:firstLineChars="250" w:firstLine="800"/>
        <w:rPr>
          <w:rFonts w:asciiTheme="minorHAnsi" w:eastAsia="方正仿宋_GBK" w:hAnsiTheme="minorHAnsi"/>
          <w:sz w:val="32"/>
          <w:szCs w:val="32"/>
        </w:rPr>
      </w:pPr>
    </w:p>
    <w:p w:rsidR="00CA48EF" w:rsidRPr="00CA48EF" w:rsidRDefault="00CA48EF" w:rsidP="00CA48EF">
      <w:pPr>
        <w:spacing w:line="594" w:lineRule="exact"/>
        <w:ind w:firstLineChars="250" w:firstLine="800"/>
        <w:rPr>
          <w:rFonts w:ascii="方正仿宋_GBK" w:eastAsia="方正仿宋_GBK" w:hAnsi="仿宋"/>
          <w:sz w:val="32"/>
          <w:szCs w:val="32"/>
        </w:rPr>
      </w:pPr>
      <w:r w:rsidRPr="00CA48EF">
        <w:rPr>
          <w:rFonts w:ascii="方正仿宋_GBK" w:eastAsia="方正仿宋_GBK" w:hAnsi="仿宋" w:hint="eastAsia"/>
          <w:sz w:val="32"/>
          <w:szCs w:val="32"/>
        </w:rPr>
        <w:t>附件：“这么近那么美·重庆人游重庆”活动情况统计表</w:t>
      </w:r>
    </w:p>
    <w:p w:rsidR="00CA48EF" w:rsidRPr="00CA48EF" w:rsidRDefault="00CA48EF" w:rsidP="00CA48EF">
      <w:pPr>
        <w:spacing w:line="594" w:lineRule="exact"/>
        <w:ind w:firstLineChars="100" w:firstLine="320"/>
        <w:rPr>
          <w:rFonts w:ascii="方正仿宋_GBK" w:eastAsia="方正仿宋_GBK" w:hAnsi="仿宋"/>
          <w:sz w:val="32"/>
          <w:szCs w:val="32"/>
        </w:rPr>
      </w:pPr>
    </w:p>
    <w:p w:rsidR="00CA48EF" w:rsidRPr="00CA48EF" w:rsidRDefault="00CA48EF" w:rsidP="00CA48EF">
      <w:pPr>
        <w:spacing w:line="594" w:lineRule="exact"/>
        <w:ind w:firstLineChars="100" w:firstLine="320"/>
        <w:rPr>
          <w:rFonts w:ascii="方正仿宋_GBK" w:eastAsia="方正仿宋_GBK" w:hAnsi="仿宋"/>
          <w:sz w:val="32"/>
          <w:szCs w:val="32"/>
        </w:rPr>
      </w:pPr>
    </w:p>
    <w:p w:rsidR="00CA48EF" w:rsidRPr="00CA48EF" w:rsidRDefault="00CA48EF" w:rsidP="00CA48EF">
      <w:pPr>
        <w:spacing w:line="594" w:lineRule="exact"/>
        <w:ind w:firstLineChars="1350" w:firstLine="4320"/>
        <w:rPr>
          <w:rFonts w:ascii="方正仿宋_GBK" w:eastAsia="方正仿宋_GBK" w:hAnsi="仿宋"/>
          <w:sz w:val="32"/>
          <w:szCs w:val="32"/>
        </w:rPr>
      </w:pPr>
      <w:r w:rsidRPr="00CA48EF">
        <w:rPr>
          <w:rFonts w:ascii="方正仿宋_GBK" w:eastAsia="方正仿宋_GBK" w:hAnsi="仿宋" w:hint="eastAsia"/>
          <w:sz w:val="32"/>
          <w:szCs w:val="32"/>
        </w:rPr>
        <w:t>重庆市文化和旅游发展委员会</w:t>
      </w:r>
    </w:p>
    <w:p w:rsidR="00CA48EF" w:rsidRPr="00CA48EF" w:rsidRDefault="00CA48EF" w:rsidP="00CA48EF">
      <w:pPr>
        <w:spacing w:line="594" w:lineRule="exact"/>
        <w:ind w:firstLineChars="1650" w:firstLine="5280"/>
        <w:rPr>
          <w:rFonts w:ascii="方正仿宋_GBK" w:eastAsia="方正仿宋_GBK" w:hAnsi="仿宋"/>
          <w:sz w:val="32"/>
          <w:szCs w:val="32"/>
        </w:rPr>
      </w:pPr>
      <w:r w:rsidRPr="00CA48EF">
        <w:rPr>
          <w:rFonts w:ascii="方正仿宋_GBK" w:eastAsia="方正仿宋_GBK" w:hAnsi="仿宋"/>
          <w:sz w:val="32"/>
          <w:szCs w:val="32"/>
        </w:rPr>
        <w:t>202</w:t>
      </w:r>
      <w:r w:rsidRPr="00CA48EF">
        <w:rPr>
          <w:rFonts w:ascii="方正仿宋_GBK" w:eastAsia="方正仿宋_GBK" w:hAnsi="仿宋" w:hint="eastAsia"/>
          <w:sz w:val="32"/>
          <w:szCs w:val="32"/>
        </w:rPr>
        <w:t>1</w:t>
      </w:r>
      <w:r w:rsidRPr="00CA48EF">
        <w:rPr>
          <w:rFonts w:ascii="方正仿宋_GBK" w:eastAsia="方正仿宋_GBK" w:hAnsi="仿宋"/>
          <w:sz w:val="32"/>
          <w:szCs w:val="32"/>
        </w:rPr>
        <w:t>年</w:t>
      </w:r>
      <w:r>
        <w:rPr>
          <w:rFonts w:ascii="方正仿宋_GBK" w:eastAsia="方正仿宋_GBK" w:hAnsi="仿宋" w:hint="eastAsia"/>
          <w:sz w:val="32"/>
          <w:szCs w:val="32"/>
        </w:rPr>
        <w:t>2</w:t>
      </w:r>
      <w:r w:rsidRPr="00CA48EF">
        <w:rPr>
          <w:rFonts w:ascii="方正仿宋_GBK" w:eastAsia="方正仿宋_GBK" w:hAnsi="仿宋"/>
          <w:sz w:val="32"/>
          <w:szCs w:val="32"/>
        </w:rPr>
        <w:t>月</w:t>
      </w:r>
      <w:r>
        <w:rPr>
          <w:rFonts w:ascii="方正仿宋_GBK" w:eastAsia="方正仿宋_GBK" w:hAnsi="仿宋" w:hint="eastAsia"/>
          <w:sz w:val="32"/>
          <w:szCs w:val="32"/>
        </w:rPr>
        <w:t>1</w:t>
      </w:r>
      <w:r w:rsidRPr="00CA48EF">
        <w:rPr>
          <w:rFonts w:ascii="方正仿宋_GBK" w:eastAsia="方正仿宋_GBK" w:hAnsi="仿宋"/>
          <w:sz w:val="32"/>
          <w:szCs w:val="32"/>
        </w:rPr>
        <w:t>日</w:t>
      </w:r>
    </w:p>
    <w:p w:rsidR="00CA48EF" w:rsidRPr="00CA48EF" w:rsidRDefault="00CA48EF" w:rsidP="00CA48EF">
      <w:pPr>
        <w:widowControl/>
        <w:jc w:val="left"/>
        <w:rPr>
          <w:rFonts w:ascii="方正仿宋_GBK" w:eastAsia="方正仿宋_GBK" w:hAnsi="仿宋"/>
          <w:sz w:val="32"/>
          <w:szCs w:val="32"/>
        </w:rPr>
        <w:sectPr w:rsidR="00CA48EF" w:rsidRPr="00CA48EF">
          <w:footerReference w:type="even" r:id="rId7"/>
          <w:footerReference w:type="default" r:id="rId8"/>
          <w:pgSz w:w="11906" w:h="16838"/>
          <w:pgMar w:top="1985" w:right="1446" w:bottom="1644" w:left="1446" w:header="851" w:footer="1418" w:gutter="0"/>
          <w:cols w:space="425"/>
          <w:docGrid w:type="lines" w:linePitch="312"/>
        </w:sectPr>
      </w:pPr>
      <w:r w:rsidRPr="00CA48EF">
        <w:rPr>
          <w:rFonts w:ascii="方正仿宋_GBK" w:eastAsia="方正仿宋_GBK" w:hAnsi="仿宋"/>
          <w:sz w:val="32"/>
          <w:szCs w:val="32"/>
        </w:rPr>
        <w:br w:type="page"/>
      </w:r>
    </w:p>
    <w:p w:rsidR="00CA48EF" w:rsidRPr="00CA48EF" w:rsidRDefault="00CA48EF" w:rsidP="00CA48EF">
      <w:pPr>
        <w:widowControl/>
        <w:rPr>
          <w:rFonts w:ascii="方正黑体_GBK" w:eastAsia="方正黑体_GBK" w:hAnsi="仿宋"/>
          <w:sz w:val="32"/>
          <w:szCs w:val="32"/>
        </w:rPr>
      </w:pPr>
      <w:r w:rsidRPr="00CA48EF">
        <w:rPr>
          <w:rFonts w:ascii="方正黑体_GBK" w:eastAsia="方正黑体_GBK" w:hAnsi="仿宋" w:hint="eastAsia"/>
          <w:sz w:val="32"/>
          <w:szCs w:val="32"/>
        </w:rPr>
        <w:lastRenderedPageBreak/>
        <w:t>附件</w:t>
      </w:r>
    </w:p>
    <w:p w:rsidR="00CA48EF" w:rsidRPr="00CA48EF" w:rsidRDefault="00CA48EF" w:rsidP="00CA48EF">
      <w:pPr>
        <w:spacing w:line="680" w:lineRule="exact"/>
        <w:jc w:val="center"/>
        <w:rPr>
          <w:rFonts w:ascii="方正小标宋_GBK" w:eastAsia="方正小标宋_GBK" w:hAnsi="仿宋"/>
          <w:sz w:val="44"/>
          <w:szCs w:val="44"/>
        </w:rPr>
      </w:pPr>
      <w:r w:rsidRPr="00CA48EF">
        <w:rPr>
          <w:rFonts w:ascii="方正小标宋_GBK" w:eastAsia="方正小标宋_GBK" w:hAnsi="仿宋" w:hint="eastAsia"/>
          <w:sz w:val="44"/>
          <w:szCs w:val="44"/>
        </w:rPr>
        <w:t>“这么近那么美·重庆人游重庆”活动情况</w:t>
      </w:r>
    </w:p>
    <w:p w:rsidR="00CA48EF" w:rsidRPr="00CA48EF" w:rsidRDefault="00CA48EF" w:rsidP="00CA48EF">
      <w:pPr>
        <w:spacing w:line="680" w:lineRule="exact"/>
        <w:jc w:val="center"/>
        <w:rPr>
          <w:rFonts w:ascii="方正小标宋_GBK" w:eastAsia="方正小标宋_GBK" w:hAnsi="仿宋"/>
          <w:sz w:val="44"/>
          <w:szCs w:val="44"/>
        </w:rPr>
      </w:pPr>
      <w:r w:rsidRPr="00CA48EF">
        <w:rPr>
          <w:rFonts w:ascii="方正小标宋_GBK" w:eastAsia="方正小标宋_GBK" w:hAnsi="仿宋" w:hint="eastAsia"/>
          <w:sz w:val="44"/>
          <w:szCs w:val="44"/>
        </w:rPr>
        <w:t>统计表</w:t>
      </w:r>
    </w:p>
    <w:tbl>
      <w:tblPr>
        <w:tblStyle w:val="a7"/>
        <w:tblW w:w="9606" w:type="dxa"/>
        <w:tblLook w:val="04A0"/>
      </w:tblPr>
      <w:tblGrid>
        <w:gridCol w:w="1745"/>
        <w:gridCol w:w="2603"/>
        <w:gridCol w:w="3405"/>
        <w:gridCol w:w="1853"/>
      </w:tblGrid>
      <w:tr w:rsidR="00CA48EF" w:rsidRPr="00CA48EF" w:rsidTr="00CA48EF">
        <w:tc>
          <w:tcPr>
            <w:tcW w:w="1745" w:type="dxa"/>
            <w:vAlign w:val="center"/>
          </w:tcPr>
          <w:p w:rsidR="00CA48EF" w:rsidRPr="00CA48EF" w:rsidRDefault="00CA48EF" w:rsidP="001957BB">
            <w:pPr>
              <w:widowControl/>
              <w:jc w:val="center"/>
              <w:rPr>
                <w:rFonts w:ascii="方正黑体_GBK" w:eastAsia="方正黑体_GBK" w:hAnsi="仿宋"/>
                <w:sz w:val="32"/>
                <w:szCs w:val="32"/>
              </w:rPr>
            </w:pPr>
            <w:r w:rsidRPr="00CA48EF">
              <w:rPr>
                <w:rFonts w:ascii="方正黑体_GBK" w:eastAsia="方正黑体_GBK" w:hAnsi="仿宋" w:hint="eastAsia"/>
                <w:sz w:val="32"/>
                <w:szCs w:val="32"/>
              </w:rPr>
              <w:t>单位</w:t>
            </w:r>
          </w:p>
        </w:tc>
        <w:tc>
          <w:tcPr>
            <w:tcW w:w="2603" w:type="dxa"/>
            <w:vAlign w:val="center"/>
          </w:tcPr>
          <w:p w:rsidR="00CA48EF" w:rsidRPr="00CA48EF" w:rsidRDefault="00CA48EF" w:rsidP="001957BB">
            <w:pPr>
              <w:widowControl/>
              <w:jc w:val="center"/>
              <w:rPr>
                <w:rFonts w:ascii="方正黑体_GBK" w:eastAsia="方正黑体_GBK" w:hAnsi="仿宋"/>
                <w:sz w:val="32"/>
                <w:szCs w:val="32"/>
              </w:rPr>
            </w:pPr>
            <w:r w:rsidRPr="00CA48EF">
              <w:rPr>
                <w:rFonts w:ascii="方正黑体_GBK" w:eastAsia="方正黑体_GBK" w:hAnsi="仿宋" w:hint="eastAsia"/>
                <w:sz w:val="32"/>
                <w:szCs w:val="32"/>
              </w:rPr>
              <w:t>旅游产品</w:t>
            </w:r>
          </w:p>
        </w:tc>
        <w:tc>
          <w:tcPr>
            <w:tcW w:w="3405" w:type="dxa"/>
            <w:vAlign w:val="center"/>
          </w:tcPr>
          <w:p w:rsidR="00CA48EF" w:rsidRPr="00CA48EF" w:rsidRDefault="00CA48EF" w:rsidP="001957BB">
            <w:pPr>
              <w:widowControl/>
              <w:jc w:val="center"/>
              <w:rPr>
                <w:rFonts w:ascii="方正黑体_GBK" w:eastAsia="方正黑体_GBK" w:hAnsi="仿宋"/>
                <w:sz w:val="32"/>
                <w:szCs w:val="32"/>
              </w:rPr>
            </w:pPr>
            <w:r w:rsidRPr="00CA48EF">
              <w:rPr>
                <w:rFonts w:ascii="方正黑体_GBK" w:eastAsia="方正黑体_GBK" w:hAnsi="仿宋" w:hint="eastAsia"/>
                <w:sz w:val="32"/>
                <w:szCs w:val="32"/>
              </w:rPr>
              <w:t>优惠措施</w:t>
            </w:r>
          </w:p>
        </w:tc>
        <w:tc>
          <w:tcPr>
            <w:tcW w:w="1853" w:type="dxa"/>
            <w:vAlign w:val="center"/>
          </w:tcPr>
          <w:p w:rsidR="00CA48EF" w:rsidRDefault="00CA48EF" w:rsidP="001957BB">
            <w:pPr>
              <w:widowControl/>
              <w:jc w:val="center"/>
              <w:rPr>
                <w:rFonts w:ascii="方正黑体_GBK" w:eastAsia="方正黑体_GBK" w:hAnsi="仿宋"/>
                <w:sz w:val="32"/>
                <w:szCs w:val="32"/>
              </w:rPr>
            </w:pPr>
            <w:r w:rsidRPr="00CA48EF">
              <w:rPr>
                <w:rFonts w:ascii="方正黑体_GBK" w:eastAsia="方正黑体_GBK" w:hAnsi="仿宋" w:hint="eastAsia"/>
                <w:sz w:val="32"/>
                <w:szCs w:val="32"/>
              </w:rPr>
              <w:t>联系人及</w:t>
            </w:r>
          </w:p>
          <w:p w:rsidR="00CA48EF" w:rsidRPr="00CA48EF" w:rsidRDefault="00CA48EF" w:rsidP="001957BB">
            <w:pPr>
              <w:widowControl/>
              <w:jc w:val="center"/>
              <w:rPr>
                <w:rFonts w:ascii="方正黑体_GBK" w:eastAsia="方正黑体_GBK" w:hAnsi="仿宋"/>
                <w:sz w:val="44"/>
                <w:szCs w:val="44"/>
              </w:rPr>
            </w:pPr>
            <w:r w:rsidRPr="00CA48EF">
              <w:rPr>
                <w:rFonts w:ascii="方正黑体_GBK" w:eastAsia="方正黑体_GBK" w:hAnsi="仿宋" w:hint="eastAsia"/>
                <w:sz w:val="32"/>
                <w:szCs w:val="32"/>
              </w:rPr>
              <w:t>联系方式</w:t>
            </w:r>
          </w:p>
        </w:tc>
      </w:tr>
      <w:tr w:rsidR="00CA48EF" w:rsidRPr="00CA48EF" w:rsidTr="00CA48EF">
        <w:tc>
          <w:tcPr>
            <w:tcW w:w="174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2603"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340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1853" w:type="dxa"/>
            <w:vAlign w:val="center"/>
          </w:tcPr>
          <w:p w:rsidR="00CA48EF" w:rsidRPr="00CA48EF" w:rsidRDefault="00CA48EF" w:rsidP="001957BB">
            <w:pPr>
              <w:widowControl/>
              <w:jc w:val="center"/>
              <w:rPr>
                <w:rFonts w:ascii="方正小标宋_GBK" w:eastAsia="方正小标宋_GBK" w:hAnsi="仿宋"/>
                <w:sz w:val="44"/>
                <w:szCs w:val="44"/>
              </w:rPr>
            </w:pPr>
          </w:p>
        </w:tc>
      </w:tr>
      <w:tr w:rsidR="00CA48EF" w:rsidRPr="00CA48EF" w:rsidTr="00CA48EF">
        <w:tc>
          <w:tcPr>
            <w:tcW w:w="174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2603"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340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1853" w:type="dxa"/>
            <w:vAlign w:val="center"/>
          </w:tcPr>
          <w:p w:rsidR="00CA48EF" w:rsidRPr="00CA48EF" w:rsidRDefault="00CA48EF" w:rsidP="001957BB">
            <w:pPr>
              <w:widowControl/>
              <w:jc w:val="center"/>
              <w:rPr>
                <w:rFonts w:ascii="方正小标宋_GBK" w:eastAsia="方正小标宋_GBK" w:hAnsi="仿宋"/>
                <w:sz w:val="44"/>
                <w:szCs w:val="44"/>
              </w:rPr>
            </w:pPr>
          </w:p>
        </w:tc>
      </w:tr>
      <w:tr w:rsidR="00CA48EF" w:rsidRPr="00CA48EF" w:rsidTr="00CA48EF">
        <w:tc>
          <w:tcPr>
            <w:tcW w:w="174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2603"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340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1853" w:type="dxa"/>
            <w:vAlign w:val="center"/>
          </w:tcPr>
          <w:p w:rsidR="00CA48EF" w:rsidRPr="00CA48EF" w:rsidRDefault="00CA48EF" w:rsidP="001957BB">
            <w:pPr>
              <w:widowControl/>
              <w:jc w:val="center"/>
              <w:rPr>
                <w:rFonts w:ascii="方正小标宋_GBK" w:eastAsia="方正小标宋_GBK" w:hAnsi="仿宋"/>
                <w:sz w:val="44"/>
                <w:szCs w:val="44"/>
              </w:rPr>
            </w:pPr>
          </w:p>
        </w:tc>
      </w:tr>
      <w:tr w:rsidR="00CA48EF" w:rsidRPr="00CA48EF" w:rsidTr="00CA48EF">
        <w:tc>
          <w:tcPr>
            <w:tcW w:w="174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2603"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340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1853" w:type="dxa"/>
            <w:vAlign w:val="center"/>
          </w:tcPr>
          <w:p w:rsidR="00CA48EF" w:rsidRPr="00CA48EF" w:rsidRDefault="00CA48EF" w:rsidP="001957BB">
            <w:pPr>
              <w:widowControl/>
              <w:jc w:val="center"/>
              <w:rPr>
                <w:rFonts w:ascii="方正小标宋_GBK" w:eastAsia="方正小标宋_GBK" w:hAnsi="仿宋"/>
                <w:sz w:val="44"/>
                <w:szCs w:val="44"/>
              </w:rPr>
            </w:pPr>
          </w:p>
        </w:tc>
      </w:tr>
      <w:tr w:rsidR="00CA48EF" w:rsidRPr="00CA48EF" w:rsidTr="00CA48EF">
        <w:tc>
          <w:tcPr>
            <w:tcW w:w="174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2603"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3405" w:type="dxa"/>
            <w:vAlign w:val="center"/>
          </w:tcPr>
          <w:p w:rsidR="00CA48EF" w:rsidRPr="00CA48EF" w:rsidRDefault="00CA48EF" w:rsidP="001957BB">
            <w:pPr>
              <w:widowControl/>
              <w:jc w:val="center"/>
              <w:rPr>
                <w:rFonts w:ascii="方正小标宋_GBK" w:eastAsia="方正小标宋_GBK" w:hAnsi="仿宋"/>
                <w:sz w:val="44"/>
                <w:szCs w:val="44"/>
              </w:rPr>
            </w:pPr>
          </w:p>
        </w:tc>
        <w:tc>
          <w:tcPr>
            <w:tcW w:w="1853" w:type="dxa"/>
            <w:vAlign w:val="center"/>
          </w:tcPr>
          <w:p w:rsidR="00CA48EF" w:rsidRPr="00CA48EF" w:rsidRDefault="00CA48EF" w:rsidP="001957BB">
            <w:pPr>
              <w:widowControl/>
              <w:jc w:val="center"/>
              <w:rPr>
                <w:rFonts w:ascii="方正小标宋_GBK" w:eastAsia="方正小标宋_GBK" w:hAnsi="仿宋"/>
                <w:sz w:val="44"/>
                <w:szCs w:val="44"/>
              </w:rPr>
            </w:pPr>
          </w:p>
        </w:tc>
      </w:tr>
    </w:tbl>
    <w:p w:rsidR="00CA48EF" w:rsidRPr="00CA48EF" w:rsidRDefault="00CA48EF" w:rsidP="00CA48EF">
      <w:pPr>
        <w:widowControl/>
        <w:jc w:val="center"/>
        <w:rPr>
          <w:rFonts w:ascii="方正小标宋_GBK" w:eastAsia="方正小标宋_GBK" w:hAnsi="仿宋"/>
          <w:sz w:val="44"/>
          <w:szCs w:val="44"/>
        </w:rPr>
      </w:pPr>
    </w:p>
    <w:p w:rsidR="005F2BBA" w:rsidRPr="00CA48EF" w:rsidRDefault="005F2BBA"/>
    <w:p w:rsidR="005F2BBA" w:rsidRPr="00CA48EF" w:rsidRDefault="005F2BBA"/>
    <w:p w:rsidR="005F2BBA" w:rsidRPr="00CA48EF" w:rsidRDefault="005F2BBA"/>
    <w:p w:rsidR="005F2BBA" w:rsidRPr="00CA48EF" w:rsidRDefault="005F2BBA"/>
    <w:p w:rsidR="005F2BBA" w:rsidRDefault="005F2BBA"/>
    <w:p w:rsidR="00CA48EF" w:rsidRPr="00CA48EF" w:rsidRDefault="00CA48EF"/>
    <w:p w:rsidR="005F2BBA" w:rsidRPr="00CA48EF" w:rsidRDefault="005F2BBA"/>
    <w:p w:rsidR="005F2BBA" w:rsidRPr="00CA48EF" w:rsidRDefault="005F2BBA"/>
    <w:p w:rsidR="005F2BBA" w:rsidRPr="00CA48EF" w:rsidRDefault="005F2BBA"/>
    <w:p w:rsidR="00E30A71" w:rsidRPr="00CA48EF" w:rsidRDefault="00E30A71"/>
    <w:p w:rsidR="00E30A71" w:rsidRPr="00CA48EF" w:rsidRDefault="006B00CF" w:rsidP="00CA48EF">
      <w:pPr>
        <w:pBdr>
          <w:top w:val="single" w:sz="4" w:space="1" w:color="auto"/>
          <w:bottom w:val="single" w:sz="4" w:space="1" w:color="auto"/>
        </w:pBdr>
        <w:spacing w:line="520" w:lineRule="exact"/>
        <w:ind w:firstLineChars="100" w:firstLine="280"/>
      </w:pPr>
      <w:r w:rsidRPr="00CA48EF">
        <w:rPr>
          <w:rFonts w:eastAsia="方正仿宋_GBK"/>
          <w:noProof/>
          <w:snapToGrid w:val="0"/>
          <w:color w:val="000000"/>
          <w:kern w:val="0"/>
          <w:sz w:val="28"/>
          <w:szCs w:val="28"/>
        </w:rPr>
        <w:drawing>
          <wp:anchor distT="0" distB="0" distL="114300" distR="114300" simplePos="0" relativeHeight="251658240" behindDoc="1" locked="0" layoutInCell="1" allowOverlap="1">
            <wp:simplePos x="0" y="0"/>
            <wp:positionH relativeFrom="column">
              <wp:posOffset>3878580</wp:posOffset>
            </wp:positionH>
            <wp:positionV relativeFrom="paragraph">
              <wp:posOffset>473710</wp:posOffset>
            </wp:positionV>
            <wp:extent cx="1794510" cy="495300"/>
            <wp:effectExtent l="19050" t="0" r="0" b="0"/>
            <wp:wrapTight wrapText="bothSides">
              <wp:wrapPolygon edited="0">
                <wp:start x="-229" y="0"/>
                <wp:lineTo x="-229" y="20769"/>
                <wp:lineTo x="21554" y="20769"/>
                <wp:lineTo x="21554" y="0"/>
                <wp:lineTo x="-229" y="0"/>
              </wp:wrapPolygon>
            </wp:wrapTight>
            <wp:docPr id="1" name="图片 2" descr="请示_渝版权〔2014〕7 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请示_渝版权〔2014〕7 号"/>
                    <pic:cNvPicPr>
                      <a:picLocks noChangeAspect="1"/>
                    </pic:cNvPicPr>
                  </pic:nvPicPr>
                  <pic:blipFill>
                    <a:blip r:embed="rId9"/>
                    <a:stretch>
                      <a:fillRect/>
                    </a:stretch>
                  </pic:blipFill>
                  <pic:spPr>
                    <a:xfrm>
                      <a:off x="0" y="0"/>
                      <a:ext cx="1794510" cy="495300"/>
                    </a:xfrm>
                    <a:prstGeom prst="rect">
                      <a:avLst/>
                    </a:prstGeom>
                    <a:noFill/>
                    <a:ln w="9525">
                      <a:noFill/>
                    </a:ln>
                  </pic:spPr>
                </pic:pic>
              </a:graphicData>
            </a:graphic>
          </wp:anchor>
        </w:drawing>
      </w:r>
      <w:r w:rsidRPr="00CA48EF">
        <w:rPr>
          <w:rFonts w:eastAsia="方正仿宋_GBK"/>
          <w:snapToGrid w:val="0"/>
          <w:color w:val="000000"/>
          <w:kern w:val="0"/>
          <w:sz w:val="28"/>
          <w:szCs w:val="28"/>
        </w:rPr>
        <w:t>重庆市文化</w:t>
      </w:r>
      <w:r w:rsidRPr="00CA48EF">
        <w:rPr>
          <w:rFonts w:eastAsia="方正仿宋_GBK" w:hint="eastAsia"/>
          <w:snapToGrid w:val="0"/>
          <w:color w:val="000000"/>
          <w:kern w:val="0"/>
          <w:sz w:val="28"/>
          <w:szCs w:val="28"/>
        </w:rPr>
        <w:t>和旅游发展</w:t>
      </w:r>
      <w:r w:rsidRPr="00CA48EF">
        <w:rPr>
          <w:rFonts w:eastAsia="方正仿宋_GBK"/>
          <w:snapToGrid w:val="0"/>
          <w:color w:val="000000"/>
          <w:kern w:val="0"/>
          <w:sz w:val="28"/>
          <w:szCs w:val="28"/>
        </w:rPr>
        <w:t>委员会办公室</w:t>
      </w:r>
      <w:r w:rsidR="001067F1" w:rsidRPr="00CA48EF">
        <w:rPr>
          <w:rFonts w:eastAsia="方正仿宋_GBK" w:hint="eastAsia"/>
          <w:snapToGrid w:val="0"/>
          <w:color w:val="000000"/>
          <w:kern w:val="0"/>
          <w:sz w:val="28"/>
          <w:szCs w:val="28"/>
        </w:rPr>
        <w:t xml:space="preserve">       </w:t>
      </w:r>
      <w:r w:rsidR="00D0234A" w:rsidRPr="00CA48EF">
        <w:rPr>
          <w:rFonts w:eastAsia="方正仿宋_GBK" w:hint="eastAsia"/>
          <w:snapToGrid w:val="0"/>
          <w:color w:val="000000"/>
          <w:kern w:val="0"/>
          <w:sz w:val="28"/>
          <w:szCs w:val="28"/>
        </w:rPr>
        <w:t xml:space="preserve"> </w:t>
      </w:r>
      <w:r w:rsidR="001067F1" w:rsidRPr="00CA48EF">
        <w:rPr>
          <w:rFonts w:eastAsia="方正仿宋_GBK" w:hint="eastAsia"/>
          <w:snapToGrid w:val="0"/>
          <w:color w:val="000000"/>
          <w:kern w:val="0"/>
          <w:sz w:val="28"/>
          <w:szCs w:val="28"/>
        </w:rPr>
        <w:t xml:space="preserve">  </w:t>
      </w:r>
      <w:r w:rsidR="00D0234A" w:rsidRPr="00CA48EF">
        <w:rPr>
          <w:rFonts w:eastAsia="方正仿宋_GBK"/>
          <w:snapToGrid w:val="0"/>
          <w:color w:val="000000"/>
          <w:kern w:val="0"/>
          <w:sz w:val="28"/>
          <w:szCs w:val="28"/>
        </w:rPr>
        <w:t>20</w:t>
      </w:r>
      <w:r w:rsidR="00D0234A" w:rsidRPr="00CA48EF">
        <w:rPr>
          <w:rFonts w:eastAsia="方正仿宋_GBK" w:hint="eastAsia"/>
          <w:snapToGrid w:val="0"/>
          <w:color w:val="000000"/>
          <w:kern w:val="0"/>
          <w:sz w:val="28"/>
          <w:szCs w:val="28"/>
        </w:rPr>
        <w:t>21</w:t>
      </w:r>
      <w:r w:rsidRPr="00CA48EF">
        <w:rPr>
          <w:rFonts w:eastAsia="方正仿宋_GBK"/>
          <w:snapToGrid w:val="0"/>
          <w:color w:val="000000"/>
          <w:kern w:val="0"/>
          <w:sz w:val="28"/>
          <w:szCs w:val="28"/>
        </w:rPr>
        <w:t>年</w:t>
      </w:r>
      <w:r w:rsidR="00D0234A" w:rsidRPr="00CA48EF">
        <w:rPr>
          <w:rFonts w:eastAsia="方正仿宋_GBK" w:hint="eastAsia"/>
          <w:snapToGrid w:val="0"/>
          <w:color w:val="000000"/>
          <w:kern w:val="0"/>
          <w:sz w:val="28"/>
          <w:szCs w:val="28"/>
        </w:rPr>
        <w:t>2</w:t>
      </w:r>
      <w:r w:rsidRPr="00CA48EF">
        <w:rPr>
          <w:rFonts w:eastAsia="方正仿宋_GBK"/>
          <w:snapToGrid w:val="0"/>
          <w:color w:val="000000"/>
          <w:kern w:val="0"/>
          <w:sz w:val="28"/>
          <w:szCs w:val="28"/>
        </w:rPr>
        <w:t>月</w:t>
      </w:r>
      <w:r w:rsidR="00D0234A" w:rsidRPr="00CA48EF">
        <w:rPr>
          <w:rFonts w:eastAsia="方正仿宋_GBK" w:hint="eastAsia"/>
          <w:snapToGrid w:val="0"/>
          <w:color w:val="000000"/>
          <w:kern w:val="0"/>
          <w:sz w:val="28"/>
          <w:szCs w:val="28"/>
        </w:rPr>
        <w:t>1</w:t>
      </w:r>
      <w:r w:rsidRPr="00CA48EF">
        <w:rPr>
          <w:rFonts w:eastAsia="方正仿宋_GBK"/>
          <w:snapToGrid w:val="0"/>
          <w:color w:val="000000"/>
          <w:kern w:val="0"/>
          <w:sz w:val="28"/>
          <w:szCs w:val="28"/>
        </w:rPr>
        <w:t>日印发</w:t>
      </w:r>
    </w:p>
    <w:sectPr w:rsidR="00E30A71" w:rsidRPr="00CA48EF" w:rsidSect="005F2BBA">
      <w:pgSz w:w="11906" w:h="16838"/>
      <w:pgMar w:top="1984" w:right="1446" w:bottom="1644" w:left="1446" w:header="850" w:footer="1417"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2E" w:rsidRDefault="00562C2E">
      <w:r>
        <w:separator/>
      </w:r>
    </w:p>
  </w:endnote>
  <w:endnote w:type="continuationSeparator" w:id="1">
    <w:p w:rsidR="00562C2E" w:rsidRDefault="00562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EF" w:rsidRDefault="00CA48EF">
    <w:pPr>
      <w:pStyle w:val="a3"/>
    </w:pPr>
    <w:r>
      <w:rPr>
        <w:sz w:val="28"/>
        <w:szCs w:val="28"/>
      </w:rPr>
      <w:t>—</w:t>
    </w:r>
    <w:sdt>
      <w:sdtPr>
        <w:rPr>
          <w:sz w:val="28"/>
          <w:szCs w:val="28"/>
        </w:rPr>
        <w:id w:val="-2021999991"/>
        <w:docPartObj>
          <w:docPartGallery w:val="AutoText"/>
        </w:docPartObj>
      </w:sdtPr>
      <w:sdtContent>
        <w:r>
          <w:rPr>
            <w:rFonts w:hint="eastAsia"/>
            <w:sz w:val="28"/>
            <w:szCs w:val="28"/>
          </w:rPr>
          <w:t xml:space="preserve"> </w:t>
        </w:r>
        <w:r w:rsidR="00743421">
          <w:rPr>
            <w:sz w:val="28"/>
            <w:szCs w:val="28"/>
          </w:rPr>
          <w:fldChar w:fldCharType="begin"/>
        </w:r>
        <w:r>
          <w:rPr>
            <w:sz w:val="28"/>
            <w:szCs w:val="28"/>
          </w:rPr>
          <w:instrText xml:space="preserve"> PAGE   \* MERGEFORMAT </w:instrText>
        </w:r>
        <w:r w:rsidR="00743421">
          <w:rPr>
            <w:sz w:val="28"/>
            <w:szCs w:val="28"/>
          </w:rPr>
          <w:fldChar w:fldCharType="separate"/>
        </w:r>
        <w:r w:rsidR="00C82F70" w:rsidRPr="00C82F70">
          <w:rPr>
            <w:noProof/>
            <w:sz w:val="28"/>
            <w:szCs w:val="28"/>
            <w:lang w:val="zh-CN"/>
          </w:rPr>
          <w:t>6</w:t>
        </w:r>
        <w:r w:rsidR="00743421">
          <w:rPr>
            <w:sz w:val="28"/>
            <w:szCs w:val="28"/>
          </w:rPr>
          <w:fldChar w:fldCharType="end"/>
        </w:r>
        <w:r>
          <w:rPr>
            <w:rFonts w:hint="eastAsia"/>
            <w:sz w:val="28"/>
            <w:szCs w:val="28"/>
          </w:rPr>
          <w:t xml:space="preserve"> </w:t>
        </w:r>
      </w:sdtContent>
    </w:sdt>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EF" w:rsidRDefault="00CA48EF">
    <w:pPr>
      <w:pStyle w:val="a3"/>
      <w:jc w:val="right"/>
      <w:rPr>
        <w:sz w:val="28"/>
        <w:szCs w:val="28"/>
      </w:rPr>
    </w:pPr>
    <w:r>
      <w:rPr>
        <w:sz w:val="28"/>
        <w:szCs w:val="28"/>
      </w:rPr>
      <w:t>—</w:t>
    </w:r>
    <w:sdt>
      <w:sdtPr>
        <w:rPr>
          <w:sz w:val="28"/>
          <w:szCs w:val="28"/>
        </w:rPr>
        <w:id w:val="2051179578"/>
        <w:docPartObj>
          <w:docPartGallery w:val="AutoText"/>
        </w:docPartObj>
      </w:sdtPr>
      <w:sdtContent>
        <w:r>
          <w:rPr>
            <w:rFonts w:hint="eastAsia"/>
            <w:sz w:val="28"/>
            <w:szCs w:val="28"/>
          </w:rPr>
          <w:t xml:space="preserve"> </w:t>
        </w:r>
        <w:r w:rsidR="00743421">
          <w:rPr>
            <w:sz w:val="28"/>
            <w:szCs w:val="28"/>
          </w:rPr>
          <w:fldChar w:fldCharType="begin"/>
        </w:r>
        <w:r>
          <w:rPr>
            <w:sz w:val="28"/>
            <w:szCs w:val="28"/>
          </w:rPr>
          <w:instrText xml:space="preserve"> PAGE   \* MERGEFORMAT </w:instrText>
        </w:r>
        <w:r w:rsidR="00743421">
          <w:rPr>
            <w:sz w:val="28"/>
            <w:szCs w:val="28"/>
          </w:rPr>
          <w:fldChar w:fldCharType="separate"/>
        </w:r>
        <w:r w:rsidR="00C82F70" w:rsidRPr="00C82F70">
          <w:rPr>
            <w:noProof/>
            <w:sz w:val="28"/>
            <w:szCs w:val="28"/>
            <w:lang w:val="zh-CN"/>
          </w:rPr>
          <w:t>5</w:t>
        </w:r>
        <w:r w:rsidR="00743421">
          <w:rPr>
            <w:sz w:val="28"/>
            <w:szCs w:val="28"/>
          </w:rPr>
          <w:fldChar w:fldCharType="end"/>
        </w:r>
        <w:r>
          <w:rPr>
            <w:rFonts w:hint="eastAsia"/>
            <w:sz w:val="28"/>
            <w:szCs w:val="28"/>
          </w:rPr>
          <w:t xml:space="preserve"> </w:t>
        </w:r>
      </w:sdtContent>
    </w:sdt>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2E" w:rsidRDefault="00562C2E">
      <w:r>
        <w:separator/>
      </w:r>
    </w:p>
  </w:footnote>
  <w:footnote w:type="continuationSeparator" w:id="1">
    <w:p w:rsidR="00562C2E" w:rsidRDefault="00562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HorizontalSpacing w:val="105"/>
  <w:drawingGridVerticalSpacing w:val="321"/>
  <w:displayHorizontalDrawingGridEvery w:val="0"/>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A71"/>
    <w:rsid w:val="000348B2"/>
    <w:rsid w:val="00072CC8"/>
    <w:rsid w:val="001067F1"/>
    <w:rsid w:val="00187C49"/>
    <w:rsid w:val="00236A89"/>
    <w:rsid w:val="002A4C51"/>
    <w:rsid w:val="00431B6B"/>
    <w:rsid w:val="00431C65"/>
    <w:rsid w:val="00560B74"/>
    <w:rsid w:val="00562C2E"/>
    <w:rsid w:val="005F2BBA"/>
    <w:rsid w:val="00605BE0"/>
    <w:rsid w:val="006B00CF"/>
    <w:rsid w:val="006B7CB7"/>
    <w:rsid w:val="00743421"/>
    <w:rsid w:val="007B5D0C"/>
    <w:rsid w:val="007F01B6"/>
    <w:rsid w:val="0082059B"/>
    <w:rsid w:val="009468FA"/>
    <w:rsid w:val="00A15C74"/>
    <w:rsid w:val="00B3658B"/>
    <w:rsid w:val="00C82F70"/>
    <w:rsid w:val="00CA48EF"/>
    <w:rsid w:val="00D0234A"/>
    <w:rsid w:val="00DE26B2"/>
    <w:rsid w:val="00E30A71"/>
    <w:rsid w:val="00E6543F"/>
    <w:rsid w:val="00EC4440"/>
    <w:rsid w:val="00F11BE4"/>
    <w:rsid w:val="426C5736"/>
    <w:rsid w:val="57BC056A"/>
    <w:rsid w:val="633E7C96"/>
    <w:rsid w:val="66AB4C5C"/>
    <w:rsid w:val="73BF2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CB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B7CB7"/>
    <w:pPr>
      <w:tabs>
        <w:tab w:val="center" w:pos="4153"/>
        <w:tab w:val="right" w:pos="8306"/>
      </w:tabs>
      <w:snapToGrid w:val="0"/>
      <w:jc w:val="left"/>
    </w:pPr>
    <w:rPr>
      <w:sz w:val="18"/>
    </w:rPr>
  </w:style>
  <w:style w:type="paragraph" w:styleId="a4">
    <w:name w:val="header"/>
    <w:basedOn w:val="a"/>
    <w:rsid w:val="006B7C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6B7CB7"/>
    <w:rPr>
      <w:b/>
      <w:bCs/>
    </w:rPr>
  </w:style>
  <w:style w:type="character" w:styleId="a6">
    <w:name w:val="page number"/>
    <w:basedOn w:val="a0"/>
    <w:rsid w:val="006B7CB7"/>
  </w:style>
  <w:style w:type="table" w:styleId="a7">
    <w:name w:val="Table Grid"/>
    <w:basedOn w:val="a1"/>
    <w:uiPriority w:val="59"/>
    <w:qFormat/>
    <w:rsid w:val="00EC4440"/>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qFormat/>
    <w:rsid w:val="00EC4440"/>
    <w:rPr>
      <w:rFonts w:ascii="Times New Roman" w:eastAsia="宋体" w:hAnsi="Times New Roman" w:cs="Times New Roman"/>
      <w:kern w:val="2"/>
      <w:sz w:val="18"/>
    </w:rPr>
  </w:style>
  <w:style w:type="paragraph" w:styleId="a8">
    <w:name w:val="Normal (Web)"/>
    <w:basedOn w:val="a"/>
    <w:rsid w:val="00D0234A"/>
    <w:pPr>
      <w:widowControl/>
      <w:spacing w:beforeAutospacing="1" w:afterAutospacing="1"/>
      <w:jc w:val="left"/>
    </w:pPr>
    <w:rPr>
      <w:rFonts w:ascii="Calibri"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bCs/>
    </w:rPr>
  </w:style>
  <w:style w:type="character" w:styleId="a6">
    <w:name w:val="page number"/>
    <w:basedOn w:val="a0"/>
  </w:style>
  <w:style w:type="table" w:styleId="a7">
    <w:name w:val="Table Grid"/>
    <w:basedOn w:val="a1"/>
    <w:uiPriority w:val="59"/>
    <w:rsid w:val="00EC4440"/>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rsid w:val="00EC4440"/>
    <w:rPr>
      <w:rFonts w:ascii="Times New Roman" w:eastAsia="宋体" w:hAnsi="Times New Roman" w:cs="Times New Roman"/>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渝文旅发〔2018〕12号</dc:title>
  <dc:creator>admin000</dc:creator>
  <cp:lastModifiedBy>Anonymous</cp:lastModifiedBy>
  <cp:revision>11</cp:revision>
  <cp:lastPrinted>2021-02-02T03:49:00Z</cp:lastPrinted>
  <dcterms:created xsi:type="dcterms:W3CDTF">2021-02-02T01:39:00Z</dcterms:created>
  <dcterms:modified xsi:type="dcterms:W3CDTF">2021-02-02T03:52:00Z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