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A12B5" w14:textId="77777777" w:rsidR="00091232" w:rsidRDefault="00412EE3" w:rsidP="002362A9">
      <w:pPr>
        <w:jc w:val="center"/>
        <w:rPr>
          <w:rFonts w:ascii="方正小标宋_GBK" w:eastAsia="方正小标宋_GBK" w:hAnsiTheme="minorEastAsia" w:cs="Times New Roman"/>
          <w:color w:val="FF0000"/>
          <w:sz w:val="44"/>
          <w:szCs w:val="44"/>
        </w:rPr>
      </w:pPr>
      <w:r>
        <w:rPr>
          <w:rFonts w:ascii="方正小标宋_GBK" w:eastAsia="方正小标宋_GBK" w:hAnsiTheme="minorEastAsia" w:cs="方正小标宋_GBK" w:hint="eastAsia"/>
          <w:sz w:val="44"/>
          <w:szCs w:val="44"/>
        </w:rPr>
        <w:t>重庆市旅游服务综合满意度调查报告</w:t>
      </w:r>
    </w:p>
    <w:p w14:paraId="15ACA205" w14:textId="016A67A8" w:rsidR="00091232" w:rsidRDefault="00412EE3" w:rsidP="002362A9">
      <w:pPr>
        <w:jc w:val="center"/>
        <w:rPr>
          <w:rFonts w:ascii="方正黑体_GBK" w:eastAsia="方正黑体_GBK" w:hAnsiTheme="minorEastAsia" w:cs="方正仿宋_GBK"/>
          <w:bCs/>
          <w:sz w:val="32"/>
          <w:szCs w:val="32"/>
        </w:rPr>
      </w:pPr>
      <w:r>
        <w:rPr>
          <w:rFonts w:ascii="方正黑体_GBK" w:eastAsia="方正黑体_GBK" w:hAnsiTheme="minorEastAsia" w:cs="方正仿宋_GBK" w:hint="eastAsia"/>
          <w:bCs/>
          <w:sz w:val="32"/>
          <w:szCs w:val="32"/>
        </w:rPr>
        <w:t>（2020年·</w:t>
      </w:r>
      <w:r w:rsidR="006C409F">
        <w:rPr>
          <w:rFonts w:ascii="方正黑体_GBK" w:eastAsia="方正黑体_GBK" w:hAnsiTheme="minorEastAsia" w:cs="方正仿宋_GBK" w:hint="eastAsia"/>
          <w:bCs/>
          <w:sz w:val="32"/>
          <w:szCs w:val="32"/>
        </w:rPr>
        <w:t>四</w:t>
      </w:r>
      <w:r>
        <w:rPr>
          <w:rFonts w:ascii="方正黑体_GBK" w:eastAsia="方正黑体_GBK" w:hAnsiTheme="minorEastAsia" w:cs="方正仿宋_GBK" w:hint="eastAsia"/>
          <w:bCs/>
          <w:sz w:val="32"/>
          <w:szCs w:val="32"/>
        </w:rPr>
        <w:t>季度）</w:t>
      </w:r>
    </w:p>
    <w:p w14:paraId="1AD04700" w14:textId="77777777" w:rsidR="00091232" w:rsidRDefault="00091232" w:rsidP="002362A9">
      <w:pPr>
        <w:spacing w:line="594" w:lineRule="exact"/>
        <w:ind w:firstLineChars="200" w:firstLine="640"/>
        <w:rPr>
          <w:rFonts w:ascii="方正黑体_GBK" w:eastAsia="方正黑体_GBK" w:hAnsiTheme="minorEastAsia" w:cs="Times New Roman"/>
          <w:bCs/>
          <w:sz w:val="32"/>
          <w:szCs w:val="32"/>
        </w:rPr>
      </w:pPr>
    </w:p>
    <w:p w14:paraId="434092C8" w14:textId="14C1923A" w:rsidR="00091232" w:rsidRDefault="00751595" w:rsidP="00E91766">
      <w:pPr>
        <w:spacing w:line="594" w:lineRule="exact"/>
        <w:ind w:firstLineChars="200" w:firstLine="640"/>
        <w:rPr>
          <w:rFonts w:ascii="方正仿宋_GBK" w:eastAsia="方正仿宋_GBK" w:hAnsiTheme="minorEastAsia" w:cs="方正仿宋_GBK"/>
          <w:sz w:val="32"/>
          <w:szCs w:val="32"/>
        </w:rPr>
      </w:pPr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为全面贯彻落实《文化和旅游部关于实施旅游服务质量提升计划的指导意见》(</w:t>
      </w:r>
      <w:proofErr w:type="gramStart"/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文旅市场</w:t>
      </w:r>
      <w:proofErr w:type="gramEnd"/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发〔</w:t>
      </w:r>
      <w:r w:rsidRPr="00F365B1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2019</w:t>
      </w:r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〕</w:t>
      </w:r>
      <w:r w:rsidRPr="00F365B1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12</w:t>
      </w:r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号)</w:t>
      </w:r>
      <w:r w:rsidRPr="00344475">
        <w:rPr>
          <w:rFonts w:hint="eastAsia"/>
        </w:rPr>
        <w:t xml:space="preserve"> </w:t>
      </w:r>
      <w:r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等</w:t>
      </w:r>
      <w:r w:rsidRPr="00344475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文件精神</w:t>
      </w:r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，进一步提</w:t>
      </w:r>
      <w:r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升</w:t>
      </w:r>
      <w:r w:rsidRPr="00D379D4">
        <w:rPr>
          <w:rFonts w:ascii="方正仿宋_GBK" w:eastAsia="方正仿宋_GBK" w:hAnsi="仿宋" w:cs="宋体" w:hint="eastAsia"/>
          <w:color w:val="000000" w:themeColor="text1"/>
          <w:sz w:val="32"/>
          <w:szCs w:val="32"/>
        </w:rPr>
        <w:t>全市旅游管理服务水平，推动全市旅游业高质量发展，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市</w:t>
      </w:r>
      <w:r w:rsidR="001B49CA">
        <w:rPr>
          <w:rFonts w:ascii="方正仿宋_GBK" w:eastAsia="方正仿宋_GBK" w:hAnsiTheme="minorEastAsia" w:cs="方正仿宋_GBK" w:hint="eastAsia"/>
          <w:sz w:val="32"/>
          <w:szCs w:val="32"/>
        </w:rPr>
        <w:t>文化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旅游信息中心</w:t>
      </w:r>
      <w:r w:rsidR="00BF1381">
        <w:rPr>
          <w:rFonts w:ascii="方正仿宋_GBK" w:eastAsia="方正仿宋_GBK" w:hAnsiTheme="minorEastAsia" w:cs="方正仿宋_GBK" w:hint="eastAsia"/>
          <w:sz w:val="32"/>
          <w:szCs w:val="32"/>
        </w:rPr>
        <w:t>（数据中心）委托第三方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在</w:t>
      </w:r>
      <w:r w:rsidR="00412EE3" w:rsidRPr="00C31CEE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7212A2" w:rsidRPr="00C31CEE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6B6D5F"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6C409F">
        <w:rPr>
          <w:rFonts w:ascii="方正仿宋_GBK" w:eastAsia="方正仿宋_GBK" w:hAnsiTheme="minorEastAsia" w:cs="方正仿宋_GBK" w:hint="eastAsia"/>
          <w:sz w:val="32"/>
          <w:szCs w:val="32"/>
        </w:rPr>
        <w:t>四</w:t>
      </w:r>
      <w:r w:rsidR="006B6D5F">
        <w:rPr>
          <w:rFonts w:ascii="方正仿宋_GBK" w:eastAsia="方正仿宋_GBK" w:hAnsiTheme="minorEastAsia" w:cs="方正仿宋_GBK" w:hint="eastAsia"/>
          <w:sz w:val="32"/>
          <w:szCs w:val="32"/>
        </w:rPr>
        <w:t>季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度</w:t>
      </w:r>
      <w:r w:rsidR="00BF1381">
        <w:rPr>
          <w:rFonts w:ascii="方正仿宋_GBK" w:eastAsia="方正仿宋_GBK" w:hAnsiTheme="minorEastAsia" w:cs="方正仿宋_GBK" w:hint="eastAsia"/>
          <w:sz w:val="32"/>
          <w:szCs w:val="32"/>
        </w:rPr>
        <w:t>开展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了</w:t>
      </w:r>
      <w:r w:rsidR="006B6D5F">
        <w:rPr>
          <w:rFonts w:ascii="方正仿宋_GBK" w:eastAsia="方正仿宋_GBK" w:hAnsiTheme="minorEastAsia" w:cs="方正仿宋_GBK" w:hint="eastAsia"/>
          <w:sz w:val="32"/>
          <w:szCs w:val="32"/>
        </w:rPr>
        <w:t>全市</w:t>
      </w:r>
      <w:r w:rsidR="00412EE3">
        <w:rPr>
          <w:rFonts w:ascii="方正仿宋_GBK" w:eastAsia="方正仿宋_GBK" w:hAnsiTheme="minorEastAsia" w:cs="方正仿宋_GBK" w:hint="eastAsia"/>
          <w:sz w:val="32"/>
          <w:szCs w:val="32"/>
        </w:rPr>
        <w:t>旅游服务综合满意度调查。</w:t>
      </w:r>
    </w:p>
    <w:p w14:paraId="3C680508" w14:textId="15750DE3" w:rsidR="00091232" w:rsidRPr="002362A9" w:rsidRDefault="007212A2" w:rsidP="00E91766">
      <w:pPr>
        <w:spacing w:line="594" w:lineRule="exact"/>
        <w:ind w:firstLineChars="200" w:firstLine="640"/>
        <w:rPr>
          <w:rFonts w:ascii="方正仿宋_GBK" w:eastAsia="方正仿宋_GBK" w:hAnsiTheme="minorEastAsia" w:cs="方正仿宋_GBK"/>
          <w:sz w:val="32"/>
          <w:szCs w:val="32"/>
        </w:rPr>
      </w:pPr>
      <w:r>
        <w:rPr>
          <w:rFonts w:ascii="方正仿宋_GBK" w:eastAsia="方正仿宋_GBK" w:hAnsiTheme="minorEastAsia" w:cs="方正仿宋_GBK" w:hint="eastAsia"/>
          <w:sz w:val="32"/>
          <w:szCs w:val="32"/>
        </w:rPr>
        <w:t>调查结果显示：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6C409F">
        <w:rPr>
          <w:rFonts w:ascii="方正仿宋_GBK" w:eastAsia="方正仿宋_GBK" w:hAnsiTheme="minorEastAsia" w:cs="方正仿宋_GBK" w:hint="eastAsia"/>
          <w:sz w:val="32"/>
          <w:szCs w:val="32"/>
        </w:rPr>
        <w:t>四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季度，重庆市旅游服务综合满意度调查共获得有效样本量</w:t>
      </w:r>
      <w:r w:rsidR="006C409F">
        <w:rPr>
          <w:rFonts w:ascii="Times New Roman" w:eastAsia="方正仿宋_GBK" w:hAnsi="Times New Roman" w:cs="Times New Roman" w:hint="eastAsia"/>
          <w:sz w:val="32"/>
          <w:szCs w:val="32"/>
        </w:rPr>
        <w:t>13060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个，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其中线上获取样本</w:t>
      </w:r>
      <w:r w:rsidR="006C409F">
        <w:rPr>
          <w:rFonts w:ascii="Times New Roman" w:eastAsia="方正仿宋_GBK" w:hAnsi="Times New Roman" w:cs="Times New Roman" w:hint="eastAsia"/>
          <w:sz w:val="32"/>
          <w:szCs w:val="32"/>
        </w:rPr>
        <w:t>9122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个，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线下获取样本</w:t>
      </w:r>
      <w:r w:rsidR="006C409F">
        <w:rPr>
          <w:rFonts w:ascii="Times New Roman" w:eastAsia="方正仿宋_GBK" w:hAnsi="Times New Roman" w:cs="Times New Roman" w:hint="eastAsia"/>
          <w:sz w:val="32"/>
          <w:szCs w:val="32"/>
        </w:rPr>
        <w:t>3938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个。全市旅游服务综合满意度得分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92.40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分，较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C31CEE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三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季度（</w:t>
      </w:r>
      <w:r w:rsidR="00D3788E" w:rsidRPr="00C31CEE">
        <w:rPr>
          <w:rFonts w:ascii="Times New Roman" w:eastAsia="方正仿宋_GBK" w:hAnsi="Times New Roman" w:cs="Times New Roman"/>
          <w:sz w:val="32"/>
          <w:szCs w:val="32"/>
        </w:rPr>
        <w:t>9</w:t>
      </w:r>
      <w:r w:rsidR="00D3788E" w:rsidRPr="00C31CEE">
        <w:rPr>
          <w:rFonts w:ascii="Times New Roman" w:eastAsia="方正仿宋_GBK" w:hAnsi="Times New Roman" w:cs="Times New Roman" w:hint="eastAsia"/>
          <w:sz w:val="32"/>
          <w:szCs w:val="32"/>
        </w:rPr>
        <w:t>4.14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分）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下降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1.74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分。组成全市旅游服务综合满意度的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个分项指标，本地居民、</w:t>
      </w:r>
      <w:r w:rsidRPr="00240D50">
        <w:rPr>
          <w:rFonts w:ascii="方正仿宋_GBK" w:eastAsia="方正仿宋_GBK" w:hAnsiTheme="minorEastAsia" w:cs="方正仿宋_GBK" w:hint="eastAsia"/>
          <w:sz w:val="32"/>
          <w:szCs w:val="32"/>
        </w:rPr>
        <w:t>景区游客和饭店客人满意度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较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三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季度均呈现</w:t>
      </w:r>
      <w:r w:rsidR="00D3788E"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下降</w:t>
      </w:r>
      <w:r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态势。其中，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本地居民对本区县旅游服务综合满意度得分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91.83</w:t>
      </w:r>
      <w:r w:rsidR="006B6D5F">
        <w:rPr>
          <w:rFonts w:ascii="方正仿宋_GBK" w:eastAsia="方正仿宋_GBK" w:hAnsiTheme="minorEastAsia" w:cs="方正仿宋_GBK" w:hint="eastAsia"/>
          <w:sz w:val="32"/>
          <w:szCs w:val="32"/>
        </w:rPr>
        <w:t>分，较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三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季度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下降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2.31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分；景区游客对区县旅游服务综合满意度得分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92.49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分，较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三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季度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下降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1.69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分；住宿饭店客人对区县旅游服务综合满意度得分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92.75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分，较</w:t>
      </w: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三</w:t>
      </w:r>
      <w:r w:rsidRPr="007212A2">
        <w:rPr>
          <w:rFonts w:ascii="方正仿宋_GBK" w:eastAsia="方正仿宋_GBK" w:hAnsiTheme="minorEastAsia" w:cs="方正仿宋_GBK" w:hint="eastAsia"/>
          <w:sz w:val="32"/>
          <w:szCs w:val="32"/>
        </w:rPr>
        <w:t>季度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下降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1.36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分（见图</w:t>
      </w:r>
      <w:r w:rsidRPr="001F64CF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）。</w:t>
      </w:r>
    </w:p>
    <w:p w14:paraId="7D95EAEE" w14:textId="3320457D" w:rsidR="00091232" w:rsidRPr="007212A2" w:rsidRDefault="007212A2">
      <w:pPr>
        <w:jc w:val="center"/>
        <w:rPr>
          <w:rFonts w:asciiTheme="minorEastAsia" w:eastAsiaTheme="minorEastAsia" w:hAnsiTheme="minorEastAsia" w:cs="方正仿宋_GBK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noProof/>
          <w:sz w:val="32"/>
          <w:szCs w:val="32"/>
        </w:rPr>
        <w:lastRenderedPageBreak/>
        <w:drawing>
          <wp:inline distT="0" distB="0" distL="0" distR="0" wp14:anchorId="78169BE8" wp14:editId="6A8457A2">
            <wp:extent cx="5274310" cy="2562225"/>
            <wp:effectExtent l="0" t="0" r="2159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94C495" w14:textId="77777777" w:rsidR="002362A9" w:rsidRDefault="002362A9" w:rsidP="002362A9">
      <w:pPr>
        <w:spacing w:line="2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B62A34B" w14:textId="130679B3" w:rsidR="00091232" w:rsidRDefault="00412EE3" w:rsidP="00E91766">
      <w:pPr>
        <w:spacing w:line="594" w:lineRule="exact"/>
        <w:ind w:firstLineChars="200" w:firstLine="640"/>
        <w:rPr>
          <w:rFonts w:ascii="方正仿宋_GBK" w:eastAsia="方正仿宋_GBK" w:hAnsiTheme="minorEastAsia" w:cs="方正仿宋_GBK"/>
          <w:sz w:val="32"/>
          <w:szCs w:val="32"/>
        </w:rPr>
      </w:pPr>
      <w:r w:rsidRPr="00C31CE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四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季度全市旅游服务综合满意度得分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92.40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分，较</w:t>
      </w:r>
      <w:r w:rsidR="00D3788E" w:rsidRPr="00C31CEE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D3788E" w:rsidRPr="00C31CEE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年三季度（</w:t>
      </w:r>
      <w:r w:rsidR="00D3788E" w:rsidRPr="00C31CEE">
        <w:rPr>
          <w:rFonts w:ascii="Times New Roman" w:eastAsia="方正仿宋_GBK" w:hAnsi="Times New Roman" w:cs="Times New Roman"/>
          <w:sz w:val="32"/>
          <w:szCs w:val="32"/>
        </w:rPr>
        <w:t>9</w:t>
      </w:r>
      <w:r w:rsidR="00D3788E" w:rsidRPr="00C31CEE">
        <w:rPr>
          <w:rFonts w:ascii="Times New Roman" w:eastAsia="方正仿宋_GBK" w:hAnsi="Times New Roman" w:cs="Times New Roman" w:hint="eastAsia"/>
          <w:sz w:val="32"/>
          <w:szCs w:val="32"/>
        </w:rPr>
        <w:t>4.14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分）下降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1.74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分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。</w:t>
      </w:r>
    </w:p>
    <w:p w14:paraId="11855123" w14:textId="22B68649" w:rsidR="002362A9" w:rsidRDefault="007212A2" w:rsidP="00E91766">
      <w:pPr>
        <w:spacing w:line="594" w:lineRule="exact"/>
        <w:ind w:firstLineChars="200" w:firstLine="640"/>
        <w:rPr>
          <w:rFonts w:ascii="方正仿宋_GBK" w:eastAsia="方正仿宋_GBK" w:hAnsiTheme="minorEastAsia" w:cs="方正仿宋_GBK"/>
          <w:sz w:val="32"/>
          <w:szCs w:val="32"/>
        </w:rPr>
      </w:pPr>
      <w:r>
        <w:rPr>
          <w:rFonts w:ascii="方正仿宋_GBK" w:eastAsia="方正仿宋_GBK" w:hAnsiTheme="minorEastAsia" w:cs="方正仿宋_GBK" w:hint="eastAsia"/>
          <w:sz w:val="32"/>
          <w:szCs w:val="32"/>
        </w:rPr>
        <w:t>按旅游发展区域布局来分析，渝东北三峡库区城镇</w:t>
      </w:r>
      <w:proofErr w:type="gramStart"/>
      <w:r>
        <w:rPr>
          <w:rFonts w:ascii="方正仿宋_GBK" w:eastAsia="方正仿宋_GBK" w:hAnsiTheme="minorEastAsia" w:cs="方正仿宋_GBK" w:hint="eastAsia"/>
          <w:sz w:val="32"/>
          <w:szCs w:val="32"/>
        </w:rPr>
        <w:t>群旅游</w:t>
      </w:r>
      <w:proofErr w:type="gramEnd"/>
      <w:r>
        <w:rPr>
          <w:rFonts w:ascii="方正仿宋_GBK" w:eastAsia="方正仿宋_GBK" w:hAnsiTheme="minorEastAsia" w:cs="方正仿宋_GBK" w:hint="eastAsia"/>
          <w:sz w:val="32"/>
          <w:szCs w:val="32"/>
        </w:rPr>
        <w:t>服务综合满意度得分较高，为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92.77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分；</w:t>
      </w:r>
      <w:proofErr w:type="gramStart"/>
      <w:r>
        <w:rPr>
          <w:rFonts w:ascii="方正仿宋_GBK" w:eastAsia="方正仿宋_GBK" w:hAnsiTheme="minorEastAsia" w:cs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Theme="minorEastAsia" w:cs="方正仿宋_GBK" w:hint="eastAsia"/>
          <w:sz w:val="32"/>
          <w:szCs w:val="32"/>
        </w:rPr>
        <w:t>东南武陵山区城镇群得分较低，为</w:t>
      </w:r>
      <w:r w:rsidR="00A064FB">
        <w:rPr>
          <w:rFonts w:ascii="Times New Roman" w:eastAsia="方正仿宋_GBK" w:hAnsi="Times New Roman" w:cs="Times New Roman" w:hint="eastAsia"/>
          <w:sz w:val="32"/>
          <w:szCs w:val="32"/>
        </w:rPr>
        <w:t>91.10</w:t>
      </w:r>
      <w:r>
        <w:rPr>
          <w:rFonts w:ascii="方正仿宋_GBK" w:eastAsia="方正仿宋_GBK" w:hAnsiTheme="minorEastAsia" w:cs="方正仿宋_GBK" w:hint="eastAsia"/>
          <w:sz w:val="32"/>
          <w:szCs w:val="32"/>
        </w:rPr>
        <w:t>分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；最高分、最低分相差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A064FB">
        <w:rPr>
          <w:rFonts w:ascii="Times New Roman" w:eastAsia="方正仿宋_GBK" w:hAnsi="Times New Roman" w:cs="Times New Roman" w:hint="eastAsia"/>
          <w:sz w:val="32"/>
          <w:szCs w:val="32"/>
        </w:rPr>
        <w:t>67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分，</w:t>
      </w:r>
      <w:proofErr w:type="gramStart"/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分差较</w:t>
      </w:r>
      <w:r w:rsidRPr="000E6B9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0E6B95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年</w:t>
      </w:r>
      <w:r w:rsidR="00D3788E">
        <w:rPr>
          <w:rFonts w:ascii="方正仿宋_GBK" w:eastAsia="方正仿宋_GBK" w:hAnsiTheme="minorEastAsia" w:cs="方正仿宋_GBK" w:hint="eastAsia"/>
          <w:sz w:val="32"/>
          <w:szCs w:val="32"/>
        </w:rPr>
        <w:t>三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季度</w:t>
      </w:r>
      <w:proofErr w:type="gramEnd"/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（</w:t>
      </w:r>
      <w:r w:rsidR="00D3788E" w:rsidRPr="000E6B9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D3788E" w:rsidRPr="000E6B95">
        <w:rPr>
          <w:rFonts w:ascii="Times New Roman" w:eastAsia="方正仿宋_GBK" w:hAnsi="Times New Roman" w:cs="Times New Roman"/>
          <w:sz w:val="32"/>
          <w:szCs w:val="32"/>
        </w:rPr>
        <w:t>.9</w:t>
      </w:r>
      <w:r w:rsidR="00D3788E" w:rsidRPr="000E6B9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分）</w:t>
      </w:r>
      <w:r w:rsidR="00D3788E"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增大</w:t>
      </w:r>
      <w:r w:rsidRPr="000E6B95"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了</w:t>
      </w:r>
      <w:r w:rsidR="00D3788E">
        <w:rPr>
          <w:rFonts w:ascii="Times New Roman" w:eastAsia="方正仿宋_GBK" w:hAnsi="Times New Roman" w:cs="Times New Roman" w:hint="eastAsia"/>
          <w:sz w:val="32"/>
          <w:szCs w:val="32"/>
        </w:rPr>
        <w:t>0.</w:t>
      </w:r>
      <w:r w:rsidR="00A064FB">
        <w:rPr>
          <w:rFonts w:ascii="Times New Roman" w:eastAsia="方正仿宋_GBK" w:hAnsi="Times New Roman" w:cs="Times New Roman" w:hint="eastAsia"/>
          <w:sz w:val="32"/>
          <w:szCs w:val="32"/>
        </w:rPr>
        <w:t>77</w:t>
      </w:r>
      <w:r w:rsidRPr="000E6B95">
        <w:rPr>
          <w:rFonts w:ascii="方正仿宋_GBK" w:eastAsia="方正仿宋_GBK" w:hAnsiTheme="minorEastAsia" w:cs="方正仿宋_GBK" w:hint="eastAsia"/>
          <w:color w:val="000000" w:themeColor="text1"/>
          <w:sz w:val="32"/>
          <w:szCs w:val="32"/>
        </w:rPr>
        <w:t>分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（见图</w:t>
      </w:r>
      <w:r w:rsidRPr="000E6B9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0E6B95">
        <w:rPr>
          <w:rFonts w:ascii="方正仿宋_GBK" w:eastAsia="方正仿宋_GBK" w:hAnsiTheme="minorEastAsia" w:cs="方正仿宋_GBK" w:hint="eastAsia"/>
          <w:sz w:val="32"/>
          <w:szCs w:val="32"/>
        </w:rPr>
        <w:t>）。</w:t>
      </w:r>
    </w:p>
    <w:p w14:paraId="4183FE23" w14:textId="77777777" w:rsidR="002362A9" w:rsidRPr="002362A9" w:rsidRDefault="002362A9" w:rsidP="002362A9">
      <w:pPr>
        <w:spacing w:line="594" w:lineRule="exact"/>
        <w:ind w:firstLineChars="200" w:firstLine="640"/>
        <w:rPr>
          <w:rFonts w:ascii="方正仿宋_GBK" w:eastAsia="方正仿宋_GBK" w:hAnsiTheme="minorEastAsia" w:cs="方正仿宋_GBK"/>
          <w:sz w:val="32"/>
          <w:szCs w:val="32"/>
        </w:rPr>
      </w:pPr>
    </w:p>
    <w:p w14:paraId="5C41ABD5" w14:textId="0F9A7D6C" w:rsidR="00091232" w:rsidRDefault="007212A2">
      <w:pPr>
        <w:jc w:val="center"/>
        <w:rPr>
          <w:rFonts w:asciiTheme="minorEastAsia" w:eastAsiaTheme="minorEastAsia" w:hAnsiTheme="minorEastAsia" w:cs="华文中宋"/>
          <w:b/>
          <w:sz w:val="24"/>
          <w:szCs w:val="28"/>
        </w:rPr>
      </w:pPr>
      <w:r>
        <w:rPr>
          <w:rFonts w:asciiTheme="minorEastAsia" w:eastAsiaTheme="minorEastAsia" w:hAnsiTheme="minorEastAsia" w:cs="方正仿宋_GBK" w:hint="eastAsia"/>
          <w:noProof/>
          <w:sz w:val="32"/>
          <w:szCs w:val="32"/>
        </w:rPr>
        <w:drawing>
          <wp:inline distT="0" distB="0" distL="0" distR="0" wp14:anchorId="34CA5201" wp14:editId="565376B5">
            <wp:extent cx="5274310" cy="2562225"/>
            <wp:effectExtent l="0" t="0" r="2540" b="952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69F53A" w14:textId="77777777" w:rsidR="00091232" w:rsidRDefault="00412EE3">
      <w:pPr>
        <w:widowControl/>
        <w:jc w:val="center"/>
        <w:rPr>
          <w:rFonts w:asciiTheme="minorEastAsia" w:eastAsiaTheme="minorEastAsia" w:hAnsiTheme="minorEastAsia" w:cs="华文中宋"/>
          <w:b/>
          <w:sz w:val="24"/>
          <w:szCs w:val="28"/>
        </w:rPr>
      </w:pPr>
      <w:r>
        <w:rPr>
          <w:rFonts w:asciiTheme="minorEastAsia" w:eastAsiaTheme="minorEastAsia" w:hAnsiTheme="minorEastAsia" w:cs="华文中宋"/>
          <w:b/>
          <w:sz w:val="24"/>
          <w:szCs w:val="28"/>
        </w:rPr>
        <w:br w:type="page"/>
      </w:r>
    </w:p>
    <w:p w14:paraId="47F69E0F" w14:textId="77777777" w:rsidR="00327700" w:rsidRDefault="00327700">
      <w:pPr>
        <w:widowControl/>
        <w:jc w:val="center"/>
        <w:rPr>
          <w:rFonts w:asciiTheme="minorEastAsia" w:eastAsiaTheme="minorEastAsia" w:hAnsiTheme="minorEastAsia" w:cs="华文中宋"/>
          <w:b/>
          <w:sz w:val="24"/>
          <w:szCs w:val="28"/>
        </w:rPr>
        <w:sectPr w:rsidR="003277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F18CA9" w14:textId="63156CAA" w:rsidR="00091232" w:rsidRDefault="00412EE3">
      <w:pPr>
        <w:widowControl/>
        <w:jc w:val="center"/>
        <w:rPr>
          <w:rFonts w:asciiTheme="minorEastAsia" w:eastAsiaTheme="minorEastAsia" w:hAnsiTheme="minorEastAsia" w:cs="华文中宋"/>
          <w:b/>
          <w:sz w:val="24"/>
          <w:szCs w:val="28"/>
        </w:rPr>
      </w:pPr>
      <w:r>
        <w:rPr>
          <w:rFonts w:asciiTheme="minorEastAsia" w:eastAsiaTheme="minorEastAsia" w:hAnsiTheme="minorEastAsia" w:cs="华文中宋" w:hint="eastAsia"/>
          <w:b/>
          <w:sz w:val="24"/>
          <w:szCs w:val="28"/>
        </w:rPr>
        <w:lastRenderedPageBreak/>
        <w:t>全市旅游服务综合满意度得分情况排名表</w:t>
      </w:r>
      <w:r>
        <w:rPr>
          <w:rStyle w:val="ab"/>
          <w:rFonts w:asciiTheme="minorEastAsia" w:eastAsiaTheme="minorEastAsia" w:hAnsiTheme="minorEastAsia" w:cs="华文中宋"/>
          <w:b/>
          <w:sz w:val="24"/>
          <w:szCs w:val="28"/>
        </w:rPr>
        <w:footnoteReference w:id="1"/>
      </w:r>
    </w:p>
    <w:p w14:paraId="4AADFA06" w14:textId="77777777" w:rsidR="00091232" w:rsidRDefault="00412EE3">
      <w:pPr>
        <w:spacing w:line="240" w:lineRule="exact"/>
        <w:ind w:right="100" w:firstLineChars="200" w:firstLine="402"/>
        <w:jc w:val="right"/>
        <w:rPr>
          <w:rFonts w:asciiTheme="minorEastAsia" w:eastAsiaTheme="minorEastAsia" w:hAnsiTheme="minorEastAsia" w:cs="Times New Roman"/>
          <w:b/>
          <w:szCs w:val="20"/>
        </w:rPr>
      </w:pPr>
      <w:r>
        <w:rPr>
          <w:rFonts w:asciiTheme="minorEastAsia" w:eastAsiaTheme="minorEastAsia" w:hAnsiTheme="minorEastAsia" w:cs="宋体" w:hint="eastAsia"/>
          <w:b/>
          <w:szCs w:val="20"/>
        </w:rPr>
        <w:t>单位：分</w:t>
      </w:r>
    </w:p>
    <w:tbl>
      <w:tblPr>
        <w:tblW w:w="4875" w:type="pct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1291"/>
        <w:gridCol w:w="742"/>
        <w:gridCol w:w="1136"/>
        <w:gridCol w:w="1182"/>
        <w:gridCol w:w="1641"/>
      </w:tblGrid>
      <w:tr w:rsidR="0089705A" w:rsidRPr="00DD2B7F" w14:paraId="3E0F1F8E" w14:textId="77777777" w:rsidTr="006C409F">
        <w:trPr>
          <w:trHeight w:hRule="exact" w:val="322"/>
          <w:jc w:val="center"/>
        </w:trPr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B94E4A" w14:textId="77777777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区县名称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8CD52" w14:textId="77777777" w:rsidR="0091084D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旅游服务</w:t>
            </w:r>
          </w:p>
          <w:p w14:paraId="61FD4A8B" w14:textId="7299B580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bookmarkStart w:id="0" w:name="_GoBack"/>
            <w:bookmarkEnd w:id="0"/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综合得分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219248" w14:textId="77777777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BF5C18E" w14:textId="77777777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调查子项目</w:t>
            </w:r>
          </w:p>
        </w:tc>
      </w:tr>
      <w:tr w:rsidR="00AE772A" w:rsidRPr="00DD2B7F" w14:paraId="03BF62C6" w14:textId="77777777" w:rsidTr="006C409F">
        <w:trPr>
          <w:trHeight w:hRule="exact" w:val="690"/>
          <w:jc w:val="center"/>
        </w:trPr>
        <w:tc>
          <w:tcPr>
            <w:tcW w:w="22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628D" w14:textId="77777777" w:rsidR="0089705A" w:rsidRPr="00DD2B7F" w:rsidRDefault="0089705A" w:rsidP="005C023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E82" w14:textId="77777777" w:rsidR="0089705A" w:rsidRPr="00DD2B7F" w:rsidRDefault="0089705A" w:rsidP="005C023F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831" w14:textId="77777777" w:rsidR="0089705A" w:rsidRPr="00DD2B7F" w:rsidRDefault="0089705A" w:rsidP="005C023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FD7AB" w14:textId="77777777" w:rsidR="00976FD3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bidi="ar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本地居民</w:t>
            </w:r>
          </w:p>
          <w:p w14:paraId="7E2984A8" w14:textId="50D18812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评价得分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6A4C" w14:textId="77777777" w:rsidR="00A22EBC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bidi="ar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景区游客</w:t>
            </w:r>
          </w:p>
          <w:p w14:paraId="19D31E77" w14:textId="3E9989E0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评价得分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4508AC8" w14:textId="77777777" w:rsidR="00A22EBC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bidi="ar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住宿饭店客人</w:t>
            </w:r>
          </w:p>
          <w:p w14:paraId="53447167" w14:textId="00E908F4" w:rsidR="0089705A" w:rsidRPr="00DD2B7F" w:rsidRDefault="0089705A" w:rsidP="005C02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D2B7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bidi="ar"/>
              </w:rPr>
              <w:t>评价得分</w:t>
            </w:r>
          </w:p>
        </w:tc>
      </w:tr>
      <w:tr w:rsidR="006C409F" w:rsidRPr="00DD2B7F" w14:paraId="5E7A6CFA" w14:textId="77777777" w:rsidTr="006C409F">
        <w:trPr>
          <w:trHeight w:hRule="exact" w:val="276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FE0D" w14:textId="75AEDB1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全市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1470" w14:textId="28EE346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92.40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CCC0" w14:textId="1502A28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C735" w14:textId="27D44AF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91.83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8ED7B" w14:textId="1641D98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92.49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26B6E7D" w14:textId="671A414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92.75 </w:t>
            </w:r>
          </w:p>
        </w:tc>
      </w:tr>
      <w:tr w:rsidR="006C409F" w:rsidRPr="00DD2B7F" w14:paraId="447FDEC3" w14:textId="77777777" w:rsidTr="006C409F">
        <w:trPr>
          <w:trHeight w:hRule="exact" w:val="28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9C2C" w14:textId="4FB101F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主城都市区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064C" w14:textId="53B5E6A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92.49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61EE" w14:textId="1047329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DCE0" w14:textId="5E732F4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92.06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04920" w14:textId="5AE755A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92.25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27242F8" w14:textId="32649AC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92.99 </w:t>
            </w:r>
          </w:p>
        </w:tc>
      </w:tr>
      <w:tr w:rsidR="006C409F" w:rsidRPr="00DD2B7F" w14:paraId="43749A5F" w14:textId="77777777" w:rsidTr="006C409F">
        <w:trPr>
          <w:trHeight w:hRule="exact" w:val="274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91C14B" w14:textId="64FB0EF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万盛经开区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AB14E04" w14:textId="0460258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95.33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A94FE" w14:textId="41CE15D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02AE2F" w14:textId="0C2AEDB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94.96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5E14014" w14:textId="61DFF0A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95.83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3D641489" w14:textId="65CCD19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95.24 </w:t>
            </w:r>
          </w:p>
        </w:tc>
      </w:tr>
      <w:tr w:rsidR="006C409F" w:rsidRPr="00DD2B7F" w14:paraId="370E6C1B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52F6BE" w14:textId="5A759CE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渝</w:t>
            </w:r>
            <w:proofErr w:type="gramEnd"/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北区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8D0B4C2" w14:textId="30798E4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94.90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B3594F" w14:textId="33F140E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075F594" w14:textId="53F5CFE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93.92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5B0C5A" w14:textId="5F0F98B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95.65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47F5AD84" w14:textId="6987B67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95.07 </w:t>
            </w:r>
          </w:p>
        </w:tc>
      </w:tr>
      <w:tr w:rsidR="006C409F" w:rsidRPr="00DD2B7F" w14:paraId="34CAEA06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5628C4" w14:textId="6BD8B0E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巴南区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766C2B0" w14:textId="57674D6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94.81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47D1D2" w14:textId="7720409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A49571C" w14:textId="6B10F80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94.63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A9F7D5B" w14:textId="261192B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94.86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2398B7AB" w14:textId="3DA5CC1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94.91 </w:t>
            </w:r>
          </w:p>
        </w:tc>
      </w:tr>
      <w:tr w:rsidR="006C409F" w:rsidRPr="00DD2B7F" w14:paraId="5083FAB4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80A5EB" w14:textId="78154C2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江津区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D6A1BFC" w14:textId="215D3A8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94.57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C076CC" w14:textId="386C854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49A71A9" w14:textId="3450ED1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94.02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4073C7B" w14:textId="6C1F0EE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95.87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54A81D97" w14:textId="6BDB804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94.01 </w:t>
            </w:r>
          </w:p>
        </w:tc>
      </w:tr>
      <w:tr w:rsidR="006C409F" w:rsidRPr="00DD2B7F" w14:paraId="6430319A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35A4DA" w14:textId="3576157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江北区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023AC1" w14:textId="6E7F132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94.57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94C5D1" w14:textId="0D7D112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D75DC9C" w14:textId="38F36D9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93.79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D9D25EA" w14:textId="5651000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94.99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60C4424B" w14:textId="04A527E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94.83 </w:t>
            </w:r>
          </w:p>
        </w:tc>
      </w:tr>
      <w:tr w:rsidR="006C409F" w:rsidRPr="00DD2B7F" w14:paraId="38BA86D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EBD28A" w14:textId="0F9A5BF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荣昌区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CF8B9B3" w14:textId="242B708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93.98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F8B909" w14:textId="74A8C5F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DF39CE" w14:textId="3D9DDB7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94.73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B95BC4" w14:textId="52C975F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94.39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1402566E" w14:textId="7F41DF5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93.11 </w:t>
            </w:r>
          </w:p>
        </w:tc>
      </w:tr>
      <w:tr w:rsidR="006C409F" w:rsidRPr="00DD2B7F" w14:paraId="16C2B48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D3A784" w14:textId="65DE2B7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綦江区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0CE62BF" w14:textId="12A407A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93.93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AF1386" w14:textId="3081287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F8CE93A" w14:textId="76ECE6B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92.85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BDC1EF9" w14:textId="4CCE861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94.67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469D2C8B" w14:textId="2187665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94.18 </w:t>
            </w:r>
          </w:p>
        </w:tc>
      </w:tr>
      <w:tr w:rsidR="006C409F" w:rsidRPr="00DD2B7F" w14:paraId="1BCC8E14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46946553" w14:textId="37E14BD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铜梁区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6000987" w14:textId="622E864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93.84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0A7A5ADC" w14:textId="39E6DA2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2FC6318" w14:textId="28D199C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94.63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77259E5" w14:textId="4294B08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92.85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78EF9FA6" w14:textId="320E948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94.00 </w:t>
            </w:r>
          </w:p>
        </w:tc>
      </w:tr>
      <w:tr w:rsidR="006C409F" w:rsidRPr="00DD2B7F" w14:paraId="7AC0453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7368F7" w14:textId="76ABB33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南川区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38E7B17" w14:textId="7D1F8BE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93.23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14CD0A" w14:textId="30FCB70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50ACE81" w14:textId="236B139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93.02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AA0E47C" w14:textId="7046A03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93.48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796A36AB" w14:textId="71579F4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93.19 </w:t>
            </w:r>
          </w:p>
        </w:tc>
      </w:tr>
      <w:tr w:rsidR="006C409F" w:rsidRPr="00DD2B7F" w14:paraId="708E0F33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C3C00" w14:textId="3903B6E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璧</w:t>
            </w:r>
            <w:proofErr w:type="gramEnd"/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山区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06B0ED" w14:textId="2FFB310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93.17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E67A3" w14:textId="1B56BBB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9AB580" w14:textId="009B10F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31CECF" w14:textId="6E40AEB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91.87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6AD7B6D6" w14:textId="0318857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92.90 </w:t>
            </w:r>
          </w:p>
        </w:tc>
      </w:tr>
      <w:tr w:rsidR="006C409F" w:rsidRPr="00DD2B7F" w14:paraId="54CBFE8E" w14:textId="77777777" w:rsidTr="006C409F">
        <w:trPr>
          <w:trHeight w:hRule="exact" w:val="274"/>
          <w:jc w:val="center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A0141" w14:textId="3E09872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涪陵区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3ED97A" w14:textId="2751192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93.13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065F" w14:textId="7EF47C7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433778" w14:textId="5AE93B0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92.61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B3989C" w14:textId="46E0CF0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93.76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4AF28458" w14:textId="3E93D99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93.06 </w:t>
            </w:r>
          </w:p>
        </w:tc>
      </w:tr>
      <w:tr w:rsidR="006C409F" w:rsidRPr="00DD2B7F" w14:paraId="3F1BA19E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F17E94" w14:textId="42612A4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合川区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91CA4F" w14:textId="244D249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92.99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0B0AAB" w14:textId="5F39AFF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9A53762" w14:textId="29DC693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92.50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24A8EB5" w14:textId="0733F80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92.29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51518301" w14:textId="79438CD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93.87 </w:t>
            </w:r>
          </w:p>
        </w:tc>
      </w:tr>
      <w:tr w:rsidR="006C409F" w:rsidRPr="00DD2B7F" w14:paraId="2BF23F14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140597" w14:textId="204D8B8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渝中区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5272780" w14:textId="512240E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92.88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235BCC" w14:textId="3572693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9859C84" w14:textId="544667C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93.04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5D25416" w14:textId="272AE91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92.32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00F0AB8F" w14:textId="30E425B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93.18 </w:t>
            </w:r>
          </w:p>
        </w:tc>
      </w:tr>
      <w:tr w:rsidR="006C409F" w:rsidRPr="00DD2B7F" w14:paraId="29D1ADB5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6AA99A" w14:textId="5A1EA0B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九龙坡区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1F934ED" w14:textId="12860BD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92.72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703E3A" w14:textId="3B12DF9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D101C43" w14:textId="1B7ECB4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91.90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E1908D7" w14:textId="0D6D0ED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91.95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7174D30E" w14:textId="1B76741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93.91 </w:t>
            </w:r>
          </w:p>
        </w:tc>
      </w:tr>
      <w:tr w:rsidR="006C409F" w:rsidRPr="00DD2B7F" w14:paraId="52A2B370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01C8B3" w14:textId="6B7139E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永川区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B7D73F7" w14:textId="6A52E5F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92.64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D684CD" w14:textId="00DDDAC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EB17D8B" w14:textId="46E7098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91.58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2A2BDD" w14:textId="6A5A5A3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93.67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1EE1AC7B" w14:textId="09083EE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92.66 </w:t>
            </w:r>
          </w:p>
        </w:tc>
      </w:tr>
      <w:tr w:rsidR="006C409F" w:rsidRPr="00DD2B7F" w14:paraId="29400DD3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CAB7D6" w14:textId="0A16C96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潼南区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9FB7903" w14:textId="6130757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91.31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5E53FC" w14:textId="5DBC97D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0C8D9F8" w14:textId="351D61E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91.03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45EB678" w14:textId="4E71FD9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91.92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408AD5FC" w14:textId="4CA6661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91.06 </w:t>
            </w:r>
          </w:p>
        </w:tc>
      </w:tr>
      <w:tr w:rsidR="006C409F" w:rsidRPr="00DD2B7F" w14:paraId="75665F1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5F1300" w14:textId="0B36C0D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长寿区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F689514" w14:textId="0F411B0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90.18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2C154E" w14:textId="25D68FD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3A20B0" w14:textId="50BBFAC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85.97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904C120" w14:textId="76FA7AF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92.65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2671C384" w14:textId="50092AB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91.49 </w:t>
            </w:r>
          </w:p>
        </w:tc>
      </w:tr>
      <w:tr w:rsidR="006C409F" w:rsidRPr="00DD2B7F" w14:paraId="283A6DFB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5AE1C6" w14:textId="751079A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大足区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09462D8" w14:textId="5DC6100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89.21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A099F6" w14:textId="54CABE9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73F53A0" w14:textId="44F4154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93.08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377FD96" w14:textId="61D3DD1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87.92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0D4842E1" w14:textId="0C3EC53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87.28 </w:t>
            </w:r>
          </w:p>
        </w:tc>
      </w:tr>
      <w:tr w:rsidR="006C409F" w:rsidRPr="00DD2B7F" w14:paraId="64A07BEB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9A1185" w14:textId="7341070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  <w:u w:val="single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南岸区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59F0545" w14:textId="2973FBE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88.58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99D566" w14:textId="7A56FC4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89C7FC5" w14:textId="4F9DFFC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87.37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6DEA0FA" w14:textId="6371AD7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88.45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35D26CB0" w14:textId="7C6FA00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89.59 </w:t>
            </w:r>
          </w:p>
        </w:tc>
      </w:tr>
      <w:tr w:rsidR="006C409F" w:rsidRPr="00DD2B7F" w14:paraId="73987ACA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BEDA5B" w14:textId="5D52517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北碚区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3CBDC27" w14:textId="5CCB8A3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88.20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C9B131" w14:textId="40D6174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A9F634B" w14:textId="7DCD3A2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90.23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B0FA75" w14:textId="389F7A9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89.50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1385158D" w14:textId="7DE3C1E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85.70 </w:t>
            </w:r>
          </w:p>
        </w:tc>
      </w:tr>
      <w:tr w:rsidR="006C409F" w:rsidRPr="00DD2B7F" w14:paraId="5580F090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AB9CE8" w14:textId="313FF7D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大渡口区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1AF3E22" w14:textId="6AE37FB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87.78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EF6D9F" w14:textId="70F6A55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E4D73B5" w14:textId="5093504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89.55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C5CC5D7" w14:textId="383713B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86.30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5E1E8FD6" w14:textId="0200DB8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87.57 </w:t>
            </w:r>
          </w:p>
        </w:tc>
      </w:tr>
      <w:tr w:rsidR="006C409F" w:rsidRPr="00DD2B7F" w14:paraId="2864882D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99ACC3" w14:textId="5CEF448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沙坪坝区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885969E" w14:textId="3B3DB51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86.72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F02D2D" w14:textId="1BFFAE5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401E1E8" w14:textId="7399F12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87.53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7442A7E" w14:textId="785B6D6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86.47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7D1EF9DD" w14:textId="06F3F44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86.31 </w:t>
            </w:r>
          </w:p>
        </w:tc>
      </w:tr>
      <w:tr w:rsidR="006C409F" w:rsidRPr="00DD2B7F" w14:paraId="30F4DA46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C8E79C" w14:textId="0672348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两江新区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D6A2D87" w14:textId="6A78E10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94.37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61766D" w14:textId="2603C88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08FA09" w14:textId="541CF82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94.66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66CD4DA" w14:textId="2030D52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92.10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782EA820" w14:textId="4AE0747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95.87 </w:t>
            </w:r>
          </w:p>
        </w:tc>
      </w:tr>
      <w:tr w:rsidR="006C409F" w:rsidRPr="00DD2B7F" w14:paraId="7BBCD156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72A4" w14:textId="04B3E27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高新区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D4CB" w14:textId="0974900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89.11 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5A12" w14:textId="436F9CE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34B7" w14:textId="6D0F40C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85.71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1198" w14:textId="77DFA63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90.13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7E5AC823" w14:textId="2442764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90.90 </w:t>
            </w:r>
          </w:p>
        </w:tc>
      </w:tr>
      <w:tr w:rsidR="006C409F" w:rsidRPr="00DD2B7F" w14:paraId="360A1CE4" w14:textId="77777777" w:rsidTr="006C409F">
        <w:trPr>
          <w:trHeight w:hRule="exact" w:val="274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BC5E" w14:textId="736835B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0"/>
              </w:rPr>
            </w:pPr>
            <w:proofErr w:type="gramStart"/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渝</w:t>
            </w:r>
            <w:proofErr w:type="gramEnd"/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东北三峡库区城镇群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19D2" w14:textId="198194C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92.77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658D" w14:textId="7B556AA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5D15F" w14:textId="1A11CF4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92.42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E3314" w14:textId="113A8B8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93.66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0AA72FC" w14:textId="3395A94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92.35 </w:t>
            </w:r>
          </w:p>
        </w:tc>
      </w:tr>
      <w:tr w:rsidR="006C409F" w:rsidRPr="00DD2B7F" w14:paraId="141D3276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32D85" w14:textId="1A141A1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奉节县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DF6273A" w14:textId="10230E4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95.07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4BA2BB" w14:textId="6FC3CC4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BAE9E6D" w14:textId="4EFA5C2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94.94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50081CF" w14:textId="0D585ED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96.42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F809D3E" w14:textId="6AE27BD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94.16 </w:t>
            </w:r>
          </w:p>
        </w:tc>
      </w:tr>
      <w:tr w:rsidR="006C409F" w:rsidRPr="00DD2B7F" w14:paraId="04FE87CF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3F2591AA" w14:textId="19B36E3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梁平区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F51F476" w14:textId="35AE1C6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94.97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261C1435" w14:textId="64FF399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3FF7B8" w14:textId="5777B1C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94.88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70F05BE" w14:textId="56DB6D2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95.25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365C10D5" w14:textId="5446460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94.82 </w:t>
            </w:r>
          </w:p>
        </w:tc>
      </w:tr>
      <w:tr w:rsidR="006C409F" w:rsidRPr="00DD2B7F" w14:paraId="6AE8E0D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33ACCE2A" w14:textId="6E25F89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忠县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76E036B" w14:textId="6B9263D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94.73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2285D167" w14:textId="15E8668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3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2BF125F" w14:textId="2BB812B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94.69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7307198" w14:textId="744E3CD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94.67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1882BF12" w14:textId="771385E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94.80 </w:t>
            </w:r>
          </w:p>
        </w:tc>
      </w:tr>
      <w:tr w:rsidR="006C409F" w:rsidRPr="00DD2B7F" w14:paraId="4D0DE288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03068701" w14:textId="0A98F12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  <w:u w:val="single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垫江县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C75DE3F" w14:textId="518871A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94.05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40DBE929" w14:textId="1A33CA3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F8CA54E" w14:textId="005FCF9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94.54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1AE9240" w14:textId="2472414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94.41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012D9731" w14:textId="5D64ECC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93.41 </w:t>
            </w:r>
          </w:p>
        </w:tc>
      </w:tr>
      <w:tr w:rsidR="006C409F" w:rsidRPr="00DD2B7F" w14:paraId="14B230C3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B849EF" w14:textId="6B2F36A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丰都县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0F9228D" w14:textId="71DBF42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93.29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AF5510" w14:textId="1912672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15F187C" w14:textId="79DB279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92.06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83B2670" w14:textId="731F787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95.00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203E64EA" w14:textId="3F11422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92.93 </w:t>
            </w:r>
          </w:p>
        </w:tc>
      </w:tr>
      <w:tr w:rsidR="006C409F" w:rsidRPr="00DD2B7F" w14:paraId="1BF70E68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0574D2" w14:textId="3DC5F29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云阳县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35F56CF" w14:textId="1D59082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93.27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9217B9" w14:textId="15C597C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EA4C37C" w14:textId="143FDBD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93.02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1EC5D7E" w14:textId="15C3B0D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93.24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33CB5E8D" w14:textId="6940F37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93.47 </w:t>
            </w:r>
          </w:p>
        </w:tc>
      </w:tr>
      <w:tr w:rsidR="006C409F" w:rsidRPr="00DD2B7F" w14:paraId="0176F213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6FF074AF" w14:textId="5FF7F9E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开州区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6B953A8" w14:textId="2E11B07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93.19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3ECB5E6D" w14:textId="1E83C91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7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AF241F5" w14:textId="24D7F10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94.55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AD91CFC" w14:textId="1B7FA12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92.42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5639C63D" w14:textId="101DBCD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92.75 </w:t>
            </w:r>
          </w:p>
        </w:tc>
      </w:tr>
      <w:tr w:rsidR="006C409F" w:rsidRPr="00DD2B7F" w14:paraId="619BF7A2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left w:val="nil"/>
              <w:right w:val="single" w:sz="4" w:space="0" w:color="auto"/>
            </w:tcBorders>
            <w:vAlign w:val="center"/>
          </w:tcPr>
          <w:p w14:paraId="4B316332" w14:textId="10C3D35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巫山县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0B75A05" w14:textId="54F2775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92.28 </w:t>
            </w:r>
          </w:p>
        </w:tc>
        <w:tc>
          <w:tcPr>
            <w:tcW w:w="723" w:type="dxa"/>
            <w:tcBorders>
              <w:left w:val="nil"/>
              <w:right w:val="single" w:sz="4" w:space="0" w:color="auto"/>
            </w:tcBorders>
            <w:vAlign w:val="center"/>
          </w:tcPr>
          <w:p w14:paraId="5505437D" w14:textId="43E2C19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</w:t>
            </w:r>
          </w:p>
        </w:tc>
        <w:tc>
          <w:tcPr>
            <w:tcW w:w="11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5FAEBCD" w14:textId="7322B18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92.22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634E5B3" w14:textId="4E0C805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92.96</w:t>
            </w:r>
          </w:p>
        </w:tc>
        <w:tc>
          <w:tcPr>
            <w:tcW w:w="1599" w:type="dxa"/>
            <w:tcBorders>
              <w:left w:val="nil"/>
            </w:tcBorders>
            <w:noWrap/>
            <w:vAlign w:val="center"/>
          </w:tcPr>
          <w:p w14:paraId="765CCFC7" w14:textId="5527A64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91.81 </w:t>
            </w:r>
          </w:p>
        </w:tc>
      </w:tr>
      <w:tr w:rsidR="006C409F" w:rsidRPr="00DD2B7F" w14:paraId="4FC45B5C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77E2E2" w14:textId="6572F68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城口县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D47DA90" w14:textId="4F4E12E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91.34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986D5A" w14:textId="46FC7AB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AA7E186" w14:textId="4B36388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90.77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583A4A1" w14:textId="287CED73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90.57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264F6AE3" w14:textId="41091A0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92.35 </w:t>
            </w:r>
          </w:p>
        </w:tc>
      </w:tr>
      <w:tr w:rsidR="006C409F" w:rsidRPr="00DD2B7F" w14:paraId="37FFFAC5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F1AA8B" w14:textId="59F7FAB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巫溪县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4287355" w14:textId="12FE660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87.88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DD5FBD" w14:textId="6119925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DAECA07" w14:textId="739477D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84.52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5892578" w14:textId="6887118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92.10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796F2589" w14:textId="511039FB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87.24 </w:t>
            </w:r>
          </w:p>
        </w:tc>
      </w:tr>
      <w:tr w:rsidR="006C409F" w:rsidRPr="00DD2B7F" w14:paraId="5F15F5BF" w14:textId="77777777" w:rsidTr="006C409F">
        <w:trPr>
          <w:trHeight w:hRule="exact" w:val="274"/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3719" w14:textId="218E0BF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  <w:u w:val="single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万州区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AAA0" w14:textId="4B77C3F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87.59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8F60" w14:textId="0020600F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01C8" w14:textId="483D1B1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88.48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406E" w14:textId="7A89B0B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86.98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3C6A8FA8" w14:textId="0775D60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87.37 </w:t>
            </w:r>
          </w:p>
        </w:tc>
      </w:tr>
      <w:tr w:rsidR="006C409F" w:rsidRPr="00DD2B7F" w14:paraId="74FB5713" w14:textId="77777777" w:rsidTr="006C409F">
        <w:trPr>
          <w:trHeight w:hRule="exact" w:val="302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98CB" w14:textId="292A870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0"/>
              </w:rPr>
            </w:pPr>
            <w:proofErr w:type="gramStart"/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渝</w:t>
            </w:r>
            <w:proofErr w:type="gramEnd"/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东南武陵山区城镇群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F9FFA" w14:textId="5149541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 xml:space="preserve">91.10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19CF" w14:textId="2667A17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FC176" w14:textId="43903A9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0"/>
              </w:rPr>
              <w:t>89.43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DAC99" w14:textId="25680A1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91.84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3635687" w14:textId="7D939A4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91.79 </w:t>
            </w:r>
          </w:p>
        </w:tc>
      </w:tr>
      <w:tr w:rsidR="006C409F" w:rsidRPr="00DD2B7F" w14:paraId="205C1174" w14:textId="77777777" w:rsidTr="006C409F">
        <w:trPr>
          <w:trHeight w:hRule="exact" w:val="265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487287" w14:textId="5B18729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武隆区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B5EA459" w14:textId="7FD54FF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92.80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3B51D" w14:textId="309C430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CD7D7A7" w14:textId="028DE02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90.07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F78EB66" w14:textId="755EEC1E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91.71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6CEB77B3" w14:textId="56F55E3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95.68 </w:t>
            </w:r>
          </w:p>
        </w:tc>
      </w:tr>
      <w:tr w:rsidR="006C409F" w:rsidRPr="00DD2B7F" w14:paraId="0F796974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1659B3" w14:textId="01189162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黔江区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F7BD13C" w14:textId="30F2192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91.72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16E741" w14:textId="5CF9D23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5B27737" w14:textId="3BD82F1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88.96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A944136" w14:textId="6F14808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94.93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3496925A" w14:textId="46BB52F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91.39 </w:t>
            </w:r>
          </w:p>
        </w:tc>
      </w:tr>
      <w:tr w:rsidR="006C409F" w:rsidRPr="00DD2B7F" w14:paraId="0A059547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CF4A0D" w14:textId="68C1E59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秀山县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E58B66F" w14:textId="1A92027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91.11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5B6E67" w14:textId="455EE5E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A75A74" w14:textId="5FA9539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90.81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14609DA" w14:textId="62B1752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90.82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56F4D7BF" w14:textId="25DF937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91.56 </w:t>
            </w:r>
          </w:p>
        </w:tc>
      </w:tr>
      <w:tr w:rsidR="006C409F" w:rsidRPr="00DD2B7F" w14:paraId="5547FAD9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3C84EF" w14:textId="6BB380D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酉阳县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3C48AE3" w14:textId="3CA8EF26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89.91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10D392" w14:textId="5C4FC977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E916F36" w14:textId="5D7DB99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88.25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C646F77" w14:textId="061716B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91.06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24150405" w14:textId="4E1BBA4C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90.30 </w:t>
            </w:r>
          </w:p>
        </w:tc>
      </w:tr>
      <w:tr w:rsidR="006C409F" w:rsidRPr="00DD2B7F" w14:paraId="38B1987D" w14:textId="77777777" w:rsidTr="006C409F">
        <w:trPr>
          <w:trHeight w:hRule="exact" w:val="248"/>
          <w:jc w:val="center"/>
        </w:trPr>
        <w:tc>
          <w:tcPr>
            <w:tcW w:w="226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6F382A" w14:textId="2192181A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石柱县</w:t>
            </w: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6CA7B39" w14:textId="08EBE01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89.83 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E61CFD" w14:textId="3D8E0148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6F2E33D" w14:textId="5BDE6ED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89.77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F046005" w14:textId="21701C29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91.32</w:t>
            </w:r>
          </w:p>
        </w:tc>
        <w:tc>
          <w:tcPr>
            <w:tcW w:w="1599" w:type="dxa"/>
            <w:tcBorders>
              <w:top w:val="nil"/>
              <w:left w:val="nil"/>
            </w:tcBorders>
            <w:noWrap/>
            <w:vAlign w:val="center"/>
          </w:tcPr>
          <w:p w14:paraId="55E476E2" w14:textId="26AA02B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88.75 </w:t>
            </w:r>
          </w:p>
        </w:tc>
      </w:tr>
      <w:tr w:rsidR="006C409F" w:rsidRPr="00DD2B7F" w14:paraId="59150CD2" w14:textId="77777777" w:rsidTr="006C409F">
        <w:trPr>
          <w:trHeight w:hRule="exact" w:val="274"/>
          <w:jc w:val="center"/>
        </w:trPr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33CBD4" w14:textId="3B7C48A5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彭水县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F4461" w14:textId="395FB95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87.71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F1835" w14:textId="78A42681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A04A00" w14:textId="033FAD3D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89.02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43A3EF" w14:textId="54CFB6B4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>87.72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</w:tcBorders>
            <w:noWrap/>
            <w:vAlign w:val="center"/>
          </w:tcPr>
          <w:p w14:paraId="49F50D89" w14:textId="1F331500" w:rsidR="006C409F" w:rsidRPr="006C409F" w:rsidRDefault="006C409F" w:rsidP="006C409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6C409F">
              <w:rPr>
                <w:rFonts w:asciiTheme="minorEastAsia" w:eastAsiaTheme="minorEastAsia" w:hAnsiTheme="minorEastAsia" w:hint="eastAsia"/>
                <w:szCs w:val="20"/>
              </w:rPr>
              <w:t xml:space="preserve">86.71 </w:t>
            </w:r>
          </w:p>
        </w:tc>
      </w:tr>
    </w:tbl>
    <w:p w14:paraId="5837A4E5" w14:textId="4C3AF9EF" w:rsidR="00091232" w:rsidRDefault="00A22EBC" w:rsidP="00A22EBC">
      <w:pPr>
        <w:spacing w:line="240" w:lineRule="exact"/>
        <w:rPr>
          <w:rFonts w:asciiTheme="minorEastAsia" w:eastAsiaTheme="minorEastAsia" w:hAnsiTheme="minorEastAsia" w:cs="宋体"/>
          <w:szCs w:val="20"/>
        </w:rPr>
      </w:pPr>
      <w:r w:rsidRPr="007858F3">
        <w:rPr>
          <w:rFonts w:asciiTheme="minorEastAsia" w:eastAsiaTheme="minorEastAsia" w:hAnsiTheme="minorEastAsia" w:hint="eastAsia"/>
          <w:color w:val="000000"/>
          <w:sz w:val="18"/>
          <w:szCs w:val="18"/>
        </w:rPr>
        <w:t>备注</w:t>
      </w:r>
      <w:r w:rsidRPr="007858F3">
        <w:rPr>
          <w:rFonts w:asciiTheme="minorEastAsia" w:eastAsiaTheme="minorEastAsia" w:hAnsiTheme="minorEastAsia"/>
          <w:color w:val="000000"/>
          <w:sz w:val="18"/>
          <w:szCs w:val="18"/>
        </w:rPr>
        <w:t>：</w:t>
      </w:r>
      <w:r w:rsidRPr="007858F3">
        <w:rPr>
          <w:rFonts w:asciiTheme="minorEastAsia" w:eastAsiaTheme="minorEastAsia" w:hAnsiTheme="minorEastAsia" w:cs="宋体" w:hint="eastAsia"/>
          <w:sz w:val="18"/>
          <w:szCs w:val="18"/>
        </w:rPr>
        <w:t>满意度得分经四舍五入至小数点后两位相同时，按小数点后三位、四位┉排序。</w:t>
      </w:r>
    </w:p>
    <w:sectPr w:rsidR="00091232" w:rsidSect="00697937">
      <w:pgSz w:w="11906" w:h="16838" w:code="9"/>
      <w:pgMar w:top="1361" w:right="1797" w:bottom="136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9476" w14:textId="77777777" w:rsidR="009245AD" w:rsidRDefault="009245AD">
      <w:r>
        <w:separator/>
      </w:r>
    </w:p>
  </w:endnote>
  <w:endnote w:type="continuationSeparator" w:id="0">
    <w:p w14:paraId="4E201D76" w14:textId="77777777" w:rsidR="009245AD" w:rsidRDefault="009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6509" w14:textId="77777777" w:rsidR="009245AD" w:rsidRDefault="009245AD">
      <w:r>
        <w:separator/>
      </w:r>
    </w:p>
  </w:footnote>
  <w:footnote w:type="continuationSeparator" w:id="0">
    <w:p w14:paraId="4FE4FF37" w14:textId="77777777" w:rsidR="009245AD" w:rsidRDefault="009245AD">
      <w:r>
        <w:continuationSeparator/>
      </w:r>
    </w:p>
  </w:footnote>
  <w:footnote w:id="1">
    <w:p w14:paraId="23616F67" w14:textId="7C659E8C" w:rsidR="00091232" w:rsidRDefault="00412EE3">
      <w:pPr>
        <w:pStyle w:val="a7"/>
      </w:pPr>
      <w:r>
        <w:rPr>
          <w:rStyle w:val="ab"/>
        </w:rPr>
        <w:footnoteRef/>
      </w:r>
      <w:r>
        <w:rPr>
          <w:rFonts w:asciiTheme="minorEastAsia" w:hAnsiTheme="minorEastAsia" w:hint="eastAsia"/>
          <w:color w:val="000000"/>
        </w:rPr>
        <w:t>城口县无饭店</w:t>
      </w:r>
      <w:r w:rsidR="001B49CA">
        <w:rPr>
          <w:rFonts w:asciiTheme="minorEastAsia" w:hAnsiTheme="minorEastAsia" w:hint="eastAsia"/>
          <w:color w:val="000000"/>
        </w:rPr>
        <w:t>纳入调查</w:t>
      </w:r>
      <w:r>
        <w:rPr>
          <w:rFonts w:asciiTheme="minorEastAsia" w:hAnsiTheme="minorEastAsia" w:hint="eastAsia"/>
          <w:color w:val="000000"/>
        </w:rPr>
        <w:t>，该区县饭店游客旅游</w:t>
      </w:r>
      <w:r w:rsidR="00327700">
        <w:rPr>
          <w:rFonts w:asciiTheme="minorEastAsia" w:hAnsiTheme="minorEastAsia" w:hint="eastAsia"/>
          <w:color w:val="000000"/>
        </w:rPr>
        <w:t>服务</w:t>
      </w:r>
      <w:r>
        <w:rPr>
          <w:rFonts w:asciiTheme="minorEastAsia" w:hAnsiTheme="minorEastAsia" w:hint="eastAsia"/>
          <w:color w:val="000000"/>
        </w:rPr>
        <w:t>综合满意度得分为该区县所在片区满意度得分。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3"/>
    <w:rsid w:val="00003530"/>
    <w:rsid w:val="00023310"/>
    <w:rsid w:val="00023F63"/>
    <w:rsid w:val="00024795"/>
    <w:rsid w:val="00033B22"/>
    <w:rsid w:val="0003478C"/>
    <w:rsid w:val="00055625"/>
    <w:rsid w:val="000710D8"/>
    <w:rsid w:val="00077F75"/>
    <w:rsid w:val="00085A48"/>
    <w:rsid w:val="00090553"/>
    <w:rsid w:val="00091232"/>
    <w:rsid w:val="000A31D5"/>
    <w:rsid w:val="000C0E8E"/>
    <w:rsid w:val="000C3061"/>
    <w:rsid w:val="000C756F"/>
    <w:rsid w:val="000C7851"/>
    <w:rsid w:val="000D2DA2"/>
    <w:rsid w:val="000E20F1"/>
    <w:rsid w:val="000E25F0"/>
    <w:rsid w:val="000E6B95"/>
    <w:rsid w:val="000F021C"/>
    <w:rsid w:val="00104AB5"/>
    <w:rsid w:val="00114A21"/>
    <w:rsid w:val="00117206"/>
    <w:rsid w:val="001245CF"/>
    <w:rsid w:val="001460E1"/>
    <w:rsid w:val="00161846"/>
    <w:rsid w:val="00170A60"/>
    <w:rsid w:val="001730BB"/>
    <w:rsid w:val="001741EE"/>
    <w:rsid w:val="001A236F"/>
    <w:rsid w:val="001A7C2E"/>
    <w:rsid w:val="001B49CA"/>
    <w:rsid w:val="001B51E2"/>
    <w:rsid w:val="001C07CF"/>
    <w:rsid w:val="001D09E4"/>
    <w:rsid w:val="001F64CF"/>
    <w:rsid w:val="002046F0"/>
    <w:rsid w:val="00215696"/>
    <w:rsid w:val="0023195A"/>
    <w:rsid w:val="002350BF"/>
    <w:rsid w:val="002362A9"/>
    <w:rsid w:val="00250DDF"/>
    <w:rsid w:val="002526C1"/>
    <w:rsid w:val="00261D34"/>
    <w:rsid w:val="00262D50"/>
    <w:rsid w:val="0028783D"/>
    <w:rsid w:val="00287B54"/>
    <w:rsid w:val="00293E37"/>
    <w:rsid w:val="002A278D"/>
    <w:rsid w:val="002A2845"/>
    <w:rsid w:val="002C2C74"/>
    <w:rsid w:val="002C5D26"/>
    <w:rsid w:val="002D1627"/>
    <w:rsid w:val="002F3A86"/>
    <w:rsid w:val="002F562D"/>
    <w:rsid w:val="00304F50"/>
    <w:rsid w:val="00305E6C"/>
    <w:rsid w:val="00307088"/>
    <w:rsid w:val="003073E4"/>
    <w:rsid w:val="003163B7"/>
    <w:rsid w:val="00327700"/>
    <w:rsid w:val="00340076"/>
    <w:rsid w:val="003426B5"/>
    <w:rsid w:val="003552A4"/>
    <w:rsid w:val="003748A7"/>
    <w:rsid w:val="00375B9C"/>
    <w:rsid w:val="00383CDA"/>
    <w:rsid w:val="00396B3D"/>
    <w:rsid w:val="003A41B1"/>
    <w:rsid w:val="003A4E36"/>
    <w:rsid w:val="003C02F7"/>
    <w:rsid w:val="003C1BDC"/>
    <w:rsid w:val="003C36EF"/>
    <w:rsid w:val="003F445C"/>
    <w:rsid w:val="003F4785"/>
    <w:rsid w:val="003F55B2"/>
    <w:rsid w:val="003F783C"/>
    <w:rsid w:val="00402337"/>
    <w:rsid w:val="00412EE3"/>
    <w:rsid w:val="00433169"/>
    <w:rsid w:val="00472A9B"/>
    <w:rsid w:val="00475295"/>
    <w:rsid w:val="00486E41"/>
    <w:rsid w:val="00494DB0"/>
    <w:rsid w:val="00497762"/>
    <w:rsid w:val="004A07AF"/>
    <w:rsid w:val="004A5D98"/>
    <w:rsid w:val="004B30A7"/>
    <w:rsid w:val="004D1DAF"/>
    <w:rsid w:val="004D3230"/>
    <w:rsid w:val="004D63FE"/>
    <w:rsid w:val="004D6573"/>
    <w:rsid w:val="004E246C"/>
    <w:rsid w:val="004E24C2"/>
    <w:rsid w:val="004E3804"/>
    <w:rsid w:val="004E6BC8"/>
    <w:rsid w:val="004E7B23"/>
    <w:rsid w:val="004F2D13"/>
    <w:rsid w:val="004F4023"/>
    <w:rsid w:val="004F7D1D"/>
    <w:rsid w:val="005038F3"/>
    <w:rsid w:val="005109F4"/>
    <w:rsid w:val="00515FBF"/>
    <w:rsid w:val="0054708C"/>
    <w:rsid w:val="00552154"/>
    <w:rsid w:val="0055596B"/>
    <w:rsid w:val="0057537A"/>
    <w:rsid w:val="00584256"/>
    <w:rsid w:val="00584A76"/>
    <w:rsid w:val="00595A49"/>
    <w:rsid w:val="005A68DB"/>
    <w:rsid w:val="005B0BEE"/>
    <w:rsid w:val="005D3EA4"/>
    <w:rsid w:val="00605DCA"/>
    <w:rsid w:val="00613BAC"/>
    <w:rsid w:val="00613E3D"/>
    <w:rsid w:val="006236D6"/>
    <w:rsid w:val="006243F6"/>
    <w:rsid w:val="006479BE"/>
    <w:rsid w:val="00647B5B"/>
    <w:rsid w:val="00653248"/>
    <w:rsid w:val="00664311"/>
    <w:rsid w:val="00664815"/>
    <w:rsid w:val="00671B70"/>
    <w:rsid w:val="00675576"/>
    <w:rsid w:val="00680563"/>
    <w:rsid w:val="00681BEF"/>
    <w:rsid w:val="006821AF"/>
    <w:rsid w:val="00692F4C"/>
    <w:rsid w:val="00697937"/>
    <w:rsid w:val="006B6D5F"/>
    <w:rsid w:val="006C409F"/>
    <w:rsid w:val="006E0436"/>
    <w:rsid w:val="006E1C84"/>
    <w:rsid w:val="00701862"/>
    <w:rsid w:val="007026F7"/>
    <w:rsid w:val="00707488"/>
    <w:rsid w:val="0071226E"/>
    <w:rsid w:val="00717CC4"/>
    <w:rsid w:val="007212A2"/>
    <w:rsid w:val="00730927"/>
    <w:rsid w:val="00735876"/>
    <w:rsid w:val="007370BA"/>
    <w:rsid w:val="00737A2D"/>
    <w:rsid w:val="00741ACC"/>
    <w:rsid w:val="00743808"/>
    <w:rsid w:val="00751595"/>
    <w:rsid w:val="00771DC0"/>
    <w:rsid w:val="007A3EFF"/>
    <w:rsid w:val="007A5574"/>
    <w:rsid w:val="007A6673"/>
    <w:rsid w:val="007B1629"/>
    <w:rsid w:val="007B163B"/>
    <w:rsid w:val="007B6165"/>
    <w:rsid w:val="007D0957"/>
    <w:rsid w:val="007D3927"/>
    <w:rsid w:val="007F45B4"/>
    <w:rsid w:val="0081034E"/>
    <w:rsid w:val="00812E48"/>
    <w:rsid w:val="008134D9"/>
    <w:rsid w:val="00814ADA"/>
    <w:rsid w:val="0083019A"/>
    <w:rsid w:val="0083276A"/>
    <w:rsid w:val="0084346C"/>
    <w:rsid w:val="00857C25"/>
    <w:rsid w:val="00866F6D"/>
    <w:rsid w:val="00870EE2"/>
    <w:rsid w:val="00873D74"/>
    <w:rsid w:val="00880931"/>
    <w:rsid w:val="00887570"/>
    <w:rsid w:val="0088789E"/>
    <w:rsid w:val="0089705A"/>
    <w:rsid w:val="008C45A7"/>
    <w:rsid w:val="008C6F7C"/>
    <w:rsid w:val="008D26CD"/>
    <w:rsid w:val="008D3C3D"/>
    <w:rsid w:val="008D3FA7"/>
    <w:rsid w:val="008E14A3"/>
    <w:rsid w:val="008E1CE4"/>
    <w:rsid w:val="008E391E"/>
    <w:rsid w:val="0091084D"/>
    <w:rsid w:val="00915465"/>
    <w:rsid w:val="009223A8"/>
    <w:rsid w:val="009245AD"/>
    <w:rsid w:val="00931F99"/>
    <w:rsid w:val="009348D6"/>
    <w:rsid w:val="009648EF"/>
    <w:rsid w:val="00971D29"/>
    <w:rsid w:val="00976FD3"/>
    <w:rsid w:val="00981BBC"/>
    <w:rsid w:val="00985269"/>
    <w:rsid w:val="009956C6"/>
    <w:rsid w:val="009A5A72"/>
    <w:rsid w:val="009B4851"/>
    <w:rsid w:val="009B7EFA"/>
    <w:rsid w:val="009C1C01"/>
    <w:rsid w:val="009D1A11"/>
    <w:rsid w:val="009D3454"/>
    <w:rsid w:val="009E4263"/>
    <w:rsid w:val="009E550F"/>
    <w:rsid w:val="009E5FFC"/>
    <w:rsid w:val="00A064FB"/>
    <w:rsid w:val="00A12AEB"/>
    <w:rsid w:val="00A15A28"/>
    <w:rsid w:val="00A22EBC"/>
    <w:rsid w:val="00A22F73"/>
    <w:rsid w:val="00A33D5F"/>
    <w:rsid w:val="00A34100"/>
    <w:rsid w:val="00A46E50"/>
    <w:rsid w:val="00A5077F"/>
    <w:rsid w:val="00A525DD"/>
    <w:rsid w:val="00A52D0B"/>
    <w:rsid w:val="00AA1CF5"/>
    <w:rsid w:val="00AA79E2"/>
    <w:rsid w:val="00AB1D9F"/>
    <w:rsid w:val="00AC2CE2"/>
    <w:rsid w:val="00AD008C"/>
    <w:rsid w:val="00AE5A6D"/>
    <w:rsid w:val="00AE772A"/>
    <w:rsid w:val="00AF4723"/>
    <w:rsid w:val="00AF67EF"/>
    <w:rsid w:val="00AF7AB8"/>
    <w:rsid w:val="00B0250F"/>
    <w:rsid w:val="00B236D5"/>
    <w:rsid w:val="00B45462"/>
    <w:rsid w:val="00B45EEB"/>
    <w:rsid w:val="00B6293E"/>
    <w:rsid w:val="00BB630F"/>
    <w:rsid w:val="00BC4A3D"/>
    <w:rsid w:val="00BE753D"/>
    <w:rsid w:val="00BF0121"/>
    <w:rsid w:val="00BF1381"/>
    <w:rsid w:val="00BF20CC"/>
    <w:rsid w:val="00BF2A16"/>
    <w:rsid w:val="00BF4C01"/>
    <w:rsid w:val="00C040AE"/>
    <w:rsid w:val="00C1704E"/>
    <w:rsid w:val="00C17513"/>
    <w:rsid w:val="00C31CEE"/>
    <w:rsid w:val="00C323B8"/>
    <w:rsid w:val="00C44064"/>
    <w:rsid w:val="00C4674E"/>
    <w:rsid w:val="00C90C1A"/>
    <w:rsid w:val="00C93ED6"/>
    <w:rsid w:val="00C97692"/>
    <w:rsid w:val="00CA050D"/>
    <w:rsid w:val="00CD555A"/>
    <w:rsid w:val="00CF6E71"/>
    <w:rsid w:val="00D036AB"/>
    <w:rsid w:val="00D16766"/>
    <w:rsid w:val="00D246A3"/>
    <w:rsid w:val="00D25513"/>
    <w:rsid w:val="00D34759"/>
    <w:rsid w:val="00D3788E"/>
    <w:rsid w:val="00D37C6B"/>
    <w:rsid w:val="00D50714"/>
    <w:rsid w:val="00D554F1"/>
    <w:rsid w:val="00D80A07"/>
    <w:rsid w:val="00D95913"/>
    <w:rsid w:val="00D96FEF"/>
    <w:rsid w:val="00DC1DDA"/>
    <w:rsid w:val="00DC5AE9"/>
    <w:rsid w:val="00DD0B05"/>
    <w:rsid w:val="00DD2B7F"/>
    <w:rsid w:val="00DD7BCC"/>
    <w:rsid w:val="00DE3948"/>
    <w:rsid w:val="00DE6EA5"/>
    <w:rsid w:val="00DF2F66"/>
    <w:rsid w:val="00E14D45"/>
    <w:rsid w:val="00E16021"/>
    <w:rsid w:val="00E261A3"/>
    <w:rsid w:val="00E2678C"/>
    <w:rsid w:val="00E42B5E"/>
    <w:rsid w:val="00E4381C"/>
    <w:rsid w:val="00E52249"/>
    <w:rsid w:val="00E54609"/>
    <w:rsid w:val="00E61DE4"/>
    <w:rsid w:val="00E632D5"/>
    <w:rsid w:val="00E63579"/>
    <w:rsid w:val="00E672F8"/>
    <w:rsid w:val="00E70529"/>
    <w:rsid w:val="00E71760"/>
    <w:rsid w:val="00E80AC9"/>
    <w:rsid w:val="00E83026"/>
    <w:rsid w:val="00E91766"/>
    <w:rsid w:val="00E97B75"/>
    <w:rsid w:val="00EA5AF5"/>
    <w:rsid w:val="00EB4A1A"/>
    <w:rsid w:val="00EB5D30"/>
    <w:rsid w:val="00EC0D9C"/>
    <w:rsid w:val="00EC671F"/>
    <w:rsid w:val="00ED5A70"/>
    <w:rsid w:val="00EE6985"/>
    <w:rsid w:val="00F03B97"/>
    <w:rsid w:val="00F0556C"/>
    <w:rsid w:val="00F16CEC"/>
    <w:rsid w:val="00F20880"/>
    <w:rsid w:val="00F21FB8"/>
    <w:rsid w:val="00F2353F"/>
    <w:rsid w:val="00F24B4C"/>
    <w:rsid w:val="00F31CB5"/>
    <w:rsid w:val="00F34AA4"/>
    <w:rsid w:val="00F37EF8"/>
    <w:rsid w:val="00F43B7B"/>
    <w:rsid w:val="00F43DA9"/>
    <w:rsid w:val="00F457A5"/>
    <w:rsid w:val="00F45E03"/>
    <w:rsid w:val="00F535D1"/>
    <w:rsid w:val="00F61DD1"/>
    <w:rsid w:val="00F62E3E"/>
    <w:rsid w:val="00F65911"/>
    <w:rsid w:val="00F838AF"/>
    <w:rsid w:val="00F91170"/>
    <w:rsid w:val="00FA08F4"/>
    <w:rsid w:val="00FA3575"/>
    <w:rsid w:val="00FA3E56"/>
    <w:rsid w:val="00FC1999"/>
    <w:rsid w:val="00FC1DC0"/>
    <w:rsid w:val="00FC3C6E"/>
    <w:rsid w:val="00FC4489"/>
    <w:rsid w:val="00FC464D"/>
    <w:rsid w:val="00FE251A"/>
    <w:rsid w:val="00FF0859"/>
    <w:rsid w:val="00FF49DA"/>
    <w:rsid w:val="22D40EFD"/>
    <w:rsid w:val="273E5266"/>
    <w:rsid w:val="428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E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0"/>
      <w:sz w:val="20"/>
      <w:szCs w:val="21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Calibri"/>
      <w:b/>
      <w:bCs/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0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Pr>
      <w:rFonts w:ascii="Calibri" w:eastAsia="宋体" w:hAnsi="Calibri" w:cs="Calibri"/>
      <w:kern w:val="0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0"/>
      <w:sz w:val="20"/>
      <w:szCs w:val="21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Calibri"/>
      <w:b/>
      <w:bCs/>
      <w:kern w:val="0"/>
      <w:sz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0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Pr>
      <w:rFonts w:ascii="Calibri" w:eastAsia="宋体" w:hAnsi="Calibri" w:cs="Calibri"/>
      <w:kern w:val="0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1" i="0" cap="all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图</a:t>
            </a:r>
            <a:r>
              <a:rPr lang="en-US" altLang="zh-CN" sz="1200" b="1" i="0" cap="all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1  </a:t>
            </a:r>
            <a:r>
              <a:rPr lang="zh-CN" altLang="zh-CN" sz="1200" b="1" i="0" cap="all" baseline="0">
                <a:solidFill>
                  <a:sysClr val="windowText" lastClr="000000"/>
                </a:solidFill>
                <a:effectLst/>
                <a:latin typeface="+mn-ea"/>
                <a:ea typeface="+mn-ea"/>
              </a:rPr>
              <a:t>重庆市旅游服务综合满意度得分图</a:t>
            </a:r>
            <a:endParaRPr lang="zh-CN" altLang="zh-CN" sz="1050" baseline="0">
              <a:solidFill>
                <a:sysClr val="windowText" lastClr="000000"/>
              </a:solidFill>
              <a:effectLst/>
              <a:latin typeface="+mn-ea"/>
              <a:ea typeface="+mn-ea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2020年四季度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综合满意度</c:v>
                </c:pt>
                <c:pt idx="1">
                  <c:v>本地居民</c:v>
                </c:pt>
                <c:pt idx="2">
                  <c:v>景区游客</c:v>
                </c:pt>
                <c:pt idx="3">
                  <c:v>饭店客人</c:v>
                </c:pt>
              </c:strCache>
            </c:strRef>
          </c:cat>
          <c:val>
            <c:numRef>
              <c:f>Sheet1!$B$2:$B$5</c:f>
              <c:numCache>
                <c:formatCode>0.00_ </c:formatCode>
                <c:ptCount val="4"/>
                <c:pt idx="0">
                  <c:v>92.396560984729689</c:v>
                </c:pt>
                <c:pt idx="1">
                  <c:v>91.830474276689273</c:v>
                </c:pt>
                <c:pt idx="2">
                  <c:v>92.487284749797695</c:v>
                </c:pt>
                <c:pt idx="3">
                  <c:v>92.753083191959007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12-40D5-A0F0-856B8DF2E3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2020年三季度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4.8157958102577302E-3"/>
                  <c:y val="1.48698884758363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12-40D5-A0F0-856B8DF2E3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综合满意度</c:v>
                </c:pt>
                <c:pt idx="1">
                  <c:v>本地居民</c:v>
                </c:pt>
                <c:pt idx="2">
                  <c:v>景区游客</c:v>
                </c:pt>
                <c:pt idx="3">
                  <c:v>饭店客人</c:v>
                </c:pt>
              </c:strCache>
            </c:strRef>
          </c:cat>
          <c:val>
            <c:numRef>
              <c:f>Sheet1!$C$2:$C$5</c:f>
              <c:numCache>
                <c:formatCode>0.00</c:formatCode>
                <c:ptCount val="4"/>
                <c:pt idx="0">
                  <c:v>94.14</c:v>
                </c:pt>
                <c:pt idx="1">
                  <c:v>94.14</c:v>
                </c:pt>
                <c:pt idx="2">
                  <c:v>94.18</c:v>
                </c:pt>
                <c:pt idx="3">
                  <c:v>94.11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12-40D5-A0F0-856B8DF2E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46112"/>
        <c:axId val="14594764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增减</c:v>
                </c:pt>
              </c:strCache>
            </c:strRef>
          </c:tx>
          <c:marker>
            <c:symbol val="star"/>
            <c:size val="7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综合满意度</c:v>
                </c:pt>
                <c:pt idx="1">
                  <c:v>本地居民</c:v>
                </c:pt>
                <c:pt idx="2">
                  <c:v>景区游客</c:v>
                </c:pt>
                <c:pt idx="3">
                  <c:v>饭店客人</c:v>
                </c:pt>
              </c:strCache>
            </c:strRef>
          </c:cat>
          <c:val>
            <c:numRef>
              <c:f>Sheet1!$D$2:$D$5</c:f>
              <c:numCache>
                <c:formatCode>0.00</c:formatCode>
                <c:ptCount val="4"/>
                <c:pt idx="0">
                  <c:v>-1.7434390152703116</c:v>
                </c:pt>
                <c:pt idx="1">
                  <c:v>-2.3095257233107276</c:v>
                </c:pt>
                <c:pt idx="2">
                  <c:v>-1.6927152502023119</c:v>
                </c:pt>
                <c:pt idx="3">
                  <c:v>-1.3569168080409924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F12-40D5-A0F0-856B8DF2E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28800"/>
        <c:axId val="184427264"/>
      </c:lineChart>
      <c:catAx>
        <c:axId val="14594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5947648"/>
        <c:crosses val="autoZero"/>
        <c:auto val="1"/>
        <c:lblAlgn val="ctr"/>
        <c:lblOffset val="100"/>
        <c:noMultiLvlLbl val="0"/>
      </c:catAx>
      <c:valAx>
        <c:axId val="145947648"/>
        <c:scaling>
          <c:orientation val="minMax"/>
          <c:max val="9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5946112"/>
        <c:crosses val="autoZero"/>
        <c:crossBetween val="between"/>
        <c:majorUnit val="1"/>
      </c:valAx>
      <c:valAx>
        <c:axId val="184427264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crossAx val="184428800"/>
        <c:crosses val="max"/>
        <c:crossBetween val="between"/>
      </c:valAx>
      <c:catAx>
        <c:axId val="184428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4427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1" i="0" u="none" strike="noStrike" cap="all" baseline="0">
                <a:solidFill>
                  <a:schemeClr val="tx1"/>
                </a:solidFill>
                <a:effectLst/>
                <a:latin typeface="+mn-ea"/>
                <a:ea typeface="+mn-ea"/>
              </a:rPr>
              <a:t>图</a:t>
            </a:r>
            <a:r>
              <a:rPr lang="en-US" altLang="zh-CN" sz="1200" b="1" i="0" u="none" strike="noStrike" cap="all" baseline="0">
                <a:solidFill>
                  <a:schemeClr val="tx1"/>
                </a:solidFill>
                <a:effectLst/>
                <a:latin typeface="+mn-ea"/>
                <a:ea typeface="+mn-ea"/>
              </a:rPr>
              <a:t>2  </a:t>
            </a:r>
            <a:r>
              <a:rPr lang="zh-CN" altLang="zh-CN" sz="1200" b="1" i="0" cap="all" baseline="0">
                <a:solidFill>
                  <a:schemeClr val="tx1"/>
                </a:solidFill>
                <a:effectLst/>
                <a:latin typeface="+mn-ea"/>
                <a:ea typeface="+mn-ea"/>
              </a:rPr>
              <a:t>重庆市旅游服务综合满意度</a:t>
            </a:r>
            <a:r>
              <a:rPr lang="zh-CN" altLang="en-US" sz="1200" b="1" i="0" cap="all" baseline="0">
                <a:solidFill>
                  <a:schemeClr val="tx1"/>
                </a:solidFill>
                <a:effectLst/>
                <a:latin typeface="+mn-ea"/>
                <a:ea typeface="+mn-ea"/>
              </a:rPr>
              <a:t>片区</a:t>
            </a:r>
            <a:r>
              <a:rPr lang="zh-CN" altLang="zh-CN" sz="1200" b="1" i="0" cap="all" baseline="0">
                <a:solidFill>
                  <a:schemeClr val="tx1"/>
                </a:solidFill>
                <a:effectLst/>
                <a:latin typeface="+mn-ea"/>
                <a:ea typeface="+mn-ea"/>
              </a:rPr>
              <a:t>得分图</a:t>
            </a:r>
            <a:endParaRPr lang="zh-CN" altLang="zh-CN" sz="1200" baseline="0">
              <a:solidFill>
                <a:schemeClr val="tx1"/>
              </a:solidFill>
              <a:effectLst/>
              <a:latin typeface="+mn-ea"/>
              <a:ea typeface="+mn-ea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2020年四季度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渝东北三峡库区城镇群</c:v>
                </c:pt>
                <c:pt idx="1">
                  <c:v>主城都市区</c:v>
                </c:pt>
                <c:pt idx="2">
                  <c:v>渝东南武陵山区城镇群</c:v>
                </c:pt>
              </c:strCache>
            </c:strRef>
          </c:cat>
          <c:val>
            <c:numRef>
              <c:f>Sheet1!$B$2:$B$4</c:f>
              <c:numCache>
                <c:formatCode>0.00</c:formatCode>
                <c:ptCount val="3"/>
                <c:pt idx="0">
                  <c:v>92.766515505989162</c:v>
                </c:pt>
                <c:pt idx="1">
                  <c:v>92.489380253157378</c:v>
                </c:pt>
                <c:pt idx="2">
                  <c:v>91.099397743335174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9C-456A-8FB9-5FFC9D8524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2020年三季度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7.2236937153863801E-3"/>
                  <c:y val="9.91325898389095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9C-456A-8FB9-5FFC9D8524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渝东北三峡库区城镇群</c:v>
                </c:pt>
                <c:pt idx="1">
                  <c:v>主城都市区</c:v>
                </c:pt>
                <c:pt idx="2">
                  <c:v>渝东南武陵山区城镇群</c:v>
                </c:pt>
              </c:strCache>
            </c:strRef>
          </c:cat>
          <c:val>
            <c:numRef>
              <c:f>Sheet1!$C$2:$C$4</c:f>
              <c:numCache>
                <c:formatCode>0.00</c:formatCode>
                <c:ptCount val="3"/>
                <c:pt idx="0">
                  <c:v>94.494931674169663</c:v>
                </c:pt>
                <c:pt idx="1">
                  <c:v>94.11536126690163</c:v>
                </c:pt>
                <c:pt idx="2">
                  <c:v>93.59462505259512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9C-456A-8FB9-5FFC9D852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94176"/>
        <c:axId val="14579571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增减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star"/>
            <c:size val="7"/>
            <c:spPr>
              <a:noFill/>
              <a:ln w="9525" cap="flat" cmpd="sng" algn="ctr">
                <a:solidFill>
                  <a:schemeClr val="accent3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0493619070551408E-2"/>
                  <c:y val="4.0161188029934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9C-456A-8FB9-5FFC9D852459}"/>
                </c:ext>
              </c:extLst>
            </c:dLbl>
            <c:dLbl>
              <c:idx val="1"/>
              <c:layout>
                <c:manualLayout>
                  <c:x val="-4.2065976402600617E-2"/>
                  <c:y val="6.866180760862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9C-456A-8FB9-5FFC9D852459}"/>
                </c:ext>
              </c:extLst>
            </c:dLbl>
            <c:dLbl>
              <c:idx val="2"/>
              <c:layout>
                <c:manualLayout>
                  <c:x val="-3.6046231639778561E-2"/>
                  <c:y val="4.0161188029934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9C-456A-8FB9-5FFC9D8524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渝东北三峡库区城镇群</c:v>
                </c:pt>
                <c:pt idx="1">
                  <c:v>主城都市区</c:v>
                </c:pt>
                <c:pt idx="2">
                  <c:v>渝东南武陵山区城镇群</c:v>
                </c:pt>
              </c:strCache>
            </c:strRef>
          </c:cat>
          <c:val>
            <c:numRef>
              <c:f>Sheet1!$D$2:$D$4</c:f>
              <c:numCache>
                <c:formatCode>0.00</c:formatCode>
                <c:ptCount val="3"/>
                <c:pt idx="0">
                  <c:v>-1.72</c:v>
                </c:pt>
                <c:pt idx="1">
                  <c:v>-1.63</c:v>
                </c:pt>
                <c:pt idx="2">
                  <c:v>-2.4900000000000002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719C-456A-8FB9-5FFC9D852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024896"/>
        <c:axId val="185026432"/>
      </c:lineChart>
      <c:catAx>
        <c:axId val="14579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5795712"/>
        <c:crosses val="autoZero"/>
        <c:auto val="1"/>
        <c:lblAlgn val="ctr"/>
        <c:lblOffset val="100"/>
        <c:noMultiLvlLbl val="0"/>
      </c:catAx>
      <c:valAx>
        <c:axId val="145795712"/>
        <c:scaling>
          <c:orientation val="minMax"/>
          <c:max val="98"/>
          <c:min val="8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5794176"/>
        <c:crosses val="autoZero"/>
        <c:crossBetween val="between"/>
        <c:majorUnit val="2"/>
      </c:valAx>
      <c:catAx>
        <c:axId val="185024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5026432"/>
        <c:crosses val="autoZero"/>
        <c:auto val="1"/>
        <c:lblAlgn val="ctr"/>
        <c:lblOffset val="100"/>
        <c:noMultiLvlLbl val="0"/>
      </c:catAx>
      <c:valAx>
        <c:axId val="185026432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0248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BD2EB-56CC-4DE9-94B8-EB7FE6BC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1956</Characters>
  <Application>Microsoft Office Word</Application>
  <DocSecurity>0</DocSecurity>
  <Lines>16</Lines>
  <Paragraphs>4</Paragraphs>
  <ScaleCrop>false</ScaleCrop>
  <Company>微软公司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Anonymous</cp:lastModifiedBy>
  <cp:revision>3</cp:revision>
  <cp:lastPrinted>2020-11-03T08:44:00Z</cp:lastPrinted>
  <dcterms:created xsi:type="dcterms:W3CDTF">2021-02-01T06:46:00Z</dcterms:created>
  <dcterms:modified xsi:type="dcterms:W3CDTF">2021-02-01T07:23:00Z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